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3BC5" w14:textId="32330CAD" w:rsidR="00764E40" w:rsidRPr="0016142F" w:rsidRDefault="00764E40" w:rsidP="00D10E3F">
      <w:pPr>
        <w:spacing w:after="0" w:line="240" w:lineRule="auto"/>
        <w:ind w:left="284"/>
        <w:jc w:val="center"/>
        <w:rPr>
          <w:rFonts w:asciiTheme="majorBidi" w:hAnsiTheme="majorBidi"/>
          <w:b/>
          <w:sz w:val="24"/>
        </w:rPr>
      </w:pPr>
      <w:r w:rsidRPr="004C731D">
        <w:rPr>
          <w:rFonts w:asciiTheme="majorBidi" w:hAnsiTheme="majorBidi"/>
          <w:b/>
          <w:sz w:val="24"/>
        </w:rPr>
        <w:t xml:space="preserve">Informality, gender employment gap, and </w:t>
      </w:r>
      <w:r w:rsidR="00C721E0" w:rsidRPr="004C731D">
        <w:rPr>
          <w:rFonts w:asciiTheme="majorBidi" w:hAnsiTheme="majorBidi"/>
          <w:b/>
          <w:sz w:val="24"/>
        </w:rPr>
        <w:t>COVID</w:t>
      </w:r>
      <w:r w:rsidRPr="0016142F">
        <w:rPr>
          <w:rFonts w:asciiTheme="majorBidi" w:hAnsiTheme="majorBidi"/>
          <w:b/>
          <w:sz w:val="24"/>
        </w:rPr>
        <w:t>-19</w:t>
      </w:r>
      <w:r w:rsidR="002D360D" w:rsidRPr="0016142F">
        <w:rPr>
          <w:rFonts w:asciiTheme="majorBidi" w:hAnsiTheme="majorBidi"/>
          <w:b/>
          <w:sz w:val="24"/>
        </w:rPr>
        <w:t xml:space="preserve"> in Mexico</w:t>
      </w:r>
      <w:r w:rsidRPr="0016142F">
        <w:rPr>
          <w:rFonts w:asciiTheme="majorBidi" w:hAnsiTheme="majorBidi"/>
          <w:b/>
          <w:sz w:val="24"/>
        </w:rPr>
        <w:t xml:space="preserve">: </w:t>
      </w:r>
    </w:p>
    <w:p w14:paraId="3646E519" w14:textId="1ACBBE2F" w:rsidR="00764E40" w:rsidRDefault="004367C6" w:rsidP="001A6F3C">
      <w:pPr>
        <w:spacing w:after="0" w:line="240" w:lineRule="auto"/>
        <w:ind w:left="284"/>
        <w:jc w:val="center"/>
        <w:rPr>
          <w:rFonts w:asciiTheme="majorBidi" w:hAnsiTheme="majorBidi"/>
          <w:b/>
          <w:sz w:val="24"/>
        </w:rPr>
      </w:pPr>
      <w:r>
        <w:rPr>
          <w:rFonts w:asciiTheme="majorBidi" w:hAnsiTheme="majorBidi"/>
          <w:b/>
          <w:sz w:val="24"/>
        </w:rPr>
        <w:t>i</w:t>
      </w:r>
      <w:r w:rsidR="001C2ABD" w:rsidRPr="00294B9C">
        <w:rPr>
          <w:rFonts w:asciiTheme="majorBidi" w:hAnsiTheme="majorBidi"/>
          <w:b/>
          <w:sz w:val="24"/>
        </w:rPr>
        <w:t>dentifying</w:t>
      </w:r>
      <w:r w:rsidR="00764E40" w:rsidRPr="00294B9C">
        <w:rPr>
          <w:rFonts w:asciiTheme="majorBidi" w:hAnsiTheme="majorBidi"/>
          <w:b/>
          <w:sz w:val="24"/>
        </w:rPr>
        <w:t xml:space="preserve"> persistence and </w:t>
      </w:r>
      <w:r w:rsidR="00E03903">
        <w:rPr>
          <w:rFonts w:asciiTheme="majorBidi" w:hAnsiTheme="majorBidi"/>
          <w:b/>
          <w:sz w:val="24"/>
        </w:rPr>
        <w:t>dynamic structural</w:t>
      </w:r>
      <w:r w:rsidR="00764E40" w:rsidRPr="00294B9C">
        <w:rPr>
          <w:rFonts w:asciiTheme="majorBidi" w:hAnsiTheme="majorBidi"/>
          <w:b/>
          <w:sz w:val="24"/>
        </w:rPr>
        <w:t xml:space="preserve"> effects</w:t>
      </w:r>
      <w:r w:rsidR="002D360D" w:rsidRPr="00294B9C">
        <w:rPr>
          <w:rFonts w:asciiTheme="majorBidi" w:hAnsiTheme="majorBidi"/>
          <w:b/>
          <w:sz w:val="24"/>
        </w:rPr>
        <w:t xml:space="preserve"> </w:t>
      </w:r>
    </w:p>
    <w:p w14:paraId="52D08A77" w14:textId="77777777" w:rsidR="00703CC2" w:rsidRPr="006C20C4" w:rsidRDefault="00703CC2" w:rsidP="001A6F3C">
      <w:pPr>
        <w:spacing w:after="0" w:line="240" w:lineRule="auto"/>
        <w:ind w:left="284"/>
        <w:jc w:val="center"/>
        <w:rPr>
          <w:rFonts w:asciiTheme="majorBidi" w:hAnsiTheme="majorBidi"/>
          <w:b/>
          <w:sz w:val="20"/>
          <w:lang w:val="es-MX"/>
        </w:rPr>
      </w:pPr>
    </w:p>
    <w:p w14:paraId="57FCC5AE" w14:textId="5A0AC1B7" w:rsidR="00764E40" w:rsidRPr="00E25F19" w:rsidRDefault="00764E40" w:rsidP="006C20C4">
      <w:pPr>
        <w:spacing w:after="0" w:line="240" w:lineRule="auto"/>
        <w:ind w:firstLine="284"/>
        <w:rPr>
          <w:rFonts w:ascii="Times New Roman" w:hAnsi="Times New Roman"/>
          <w:b/>
          <w:szCs w:val="24"/>
        </w:rPr>
      </w:pPr>
      <w:r w:rsidRPr="00E25F19">
        <w:rPr>
          <w:rFonts w:ascii="Times New Roman" w:hAnsi="Times New Roman"/>
          <w:b/>
          <w:szCs w:val="24"/>
        </w:rPr>
        <w:t>Abstract:</w:t>
      </w:r>
    </w:p>
    <w:p w14:paraId="38F9668E" w14:textId="24009581" w:rsidR="000D5669" w:rsidRPr="00E25F19" w:rsidRDefault="000D5669" w:rsidP="000D5669">
      <w:pPr>
        <w:spacing w:after="0" w:line="240" w:lineRule="auto"/>
        <w:ind w:left="284"/>
        <w:jc w:val="both"/>
        <w:rPr>
          <w:rFonts w:ascii="Times New Roman" w:hAnsi="Times New Roman"/>
          <w:szCs w:val="24"/>
        </w:rPr>
      </w:pPr>
      <w:bookmarkStart w:id="0" w:name="_Hlk69990965"/>
      <w:r w:rsidRPr="00E25F19">
        <w:rPr>
          <w:rFonts w:ascii="Times New Roman" w:hAnsi="Times New Roman"/>
          <w:szCs w:val="24"/>
          <w:u w:val="single"/>
        </w:rPr>
        <w:t>Objective</w:t>
      </w:r>
      <w:r w:rsidRPr="00E25F19">
        <w:rPr>
          <w:rFonts w:ascii="Times New Roman" w:hAnsi="Times New Roman"/>
          <w:szCs w:val="24"/>
        </w:rPr>
        <w:t xml:space="preserve">: </w:t>
      </w:r>
      <w:r w:rsidR="00595F08" w:rsidRPr="00E25F19">
        <w:rPr>
          <w:rFonts w:ascii="Times New Roman" w:hAnsi="Times New Roman"/>
          <w:szCs w:val="24"/>
        </w:rPr>
        <w:t>A</w:t>
      </w:r>
      <w:r w:rsidRPr="00E25F19">
        <w:rPr>
          <w:rFonts w:ascii="Times New Roman" w:hAnsi="Times New Roman"/>
          <w:szCs w:val="24"/>
        </w:rPr>
        <w:t>nalyze the impact of the COVID-19 pandemic on the dynamics of the Mexican labor market</w:t>
      </w:r>
      <w:bookmarkStart w:id="1" w:name="_Hlk69468641"/>
      <w:r w:rsidRPr="00E25F19">
        <w:rPr>
          <w:rFonts w:ascii="Times New Roman" w:hAnsi="Times New Roman" w:cs="Times New Roman"/>
        </w:rPr>
        <w:t xml:space="preserve"> </w:t>
      </w:r>
      <w:r w:rsidRPr="00E25F19">
        <w:rPr>
          <w:rFonts w:ascii="Times New Roman" w:hAnsi="Times New Roman"/>
          <w:szCs w:val="24"/>
        </w:rPr>
        <w:t xml:space="preserve">by gender, identifying formal and informal sectors. </w:t>
      </w:r>
      <w:bookmarkStart w:id="2" w:name="_Hlk69389109"/>
    </w:p>
    <w:p w14:paraId="52E03917" w14:textId="0B126B6A" w:rsidR="000D5669" w:rsidRPr="00E25F19" w:rsidRDefault="000D5669" w:rsidP="000D5669">
      <w:pPr>
        <w:spacing w:after="0" w:line="240" w:lineRule="auto"/>
        <w:ind w:left="284"/>
        <w:jc w:val="both"/>
        <w:rPr>
          <w:rFonts w:ascii="Times New Roman" w:hAnsi="Times New Roman"/>
          <w:szCs w:val="24"/>
        </w:rPr>
      </w:pPr>
      <w:r w:rsidRPr="00E25F19">
        <w:rPr>
          <w:rFonts w:ascii="Times New Roman" w:hAnsi="Times New Roman"/>
          <w:szCs w:val="24"/>
          <w:u w:val="single"/>
        </w:rPr>
        <w:t>Method</w:t>
      </w:r>
      <w:r w:rsidRPr="00E25F19">
        <w:rPr>
          <w:rFonts w:ascii="Times New Roman" w:hAnsi="Times New Roman"/>
          <w:szCs w:val="24"/>
        </w:rPr>
        <w:t xml:space="preserve">: </w:t>
      </w:r>
      <w:r w:rsidR="00595F08" w:rsidRPr="00E25F19">
        <w:rPr>
          <w:rFonts w:ascii="Times New Roman" w:hAnsi="Times New Roman"/>
          <w:szCs w:val="24"/>
        </w:rPr>
        <w:t>B</w:t>
      </w:r>
      <w:r w:rsidRPr="00E25F19">
        <w:rPr>
          <w:rFonts w:ascii="Times New Roman" w:hAnsi="Times New Roman"/>
          <w:szCs w:val="24"/>
        </w:rPr>
        <w:t>uild consistent micro-founded time-series from 1987:Q1 to 2020:Q1 using the Mexican urban employment surveys</w:t>
      </w:r>
      <w:r w:rsidR="00D673BC" w:rsidRPr="00E25F19">
        <w:rPr>
          <w:rFonts w:ascii="Times New Roman" w:hAnsi="Times New Roman"/>
          <w:szCs w:val="24"/>
        </w:rPr>
        <w:t>,</w:t>
      </w:r>
      <w:r w:rsidRPr="00E25F19">
        <w:rPr>
          <w:rFonts w:ascii="Times New Roman" w:hAnsi="Times New Roman"/>
          <w:szCs w:val="24"/>
        </w:rPr>
        <w:t xml:space="preserve"> and estimate a VAR model linking aggregate production and each market segment.</w:t>
      </w:r>
      <w:bookmarkEnd w:id="2"/>
    </w:p>
    <w:p w14:paraId="7EFB0995" w14:textId="0DB269E1" w:rsidR="000D5669" w:rsidRPr="00E25F19" w:rsidRDefault="000D5669" w:rsidP="000D5669">
      <w:pPr>
        <w:spacing w:after="0" w:line="240" w:lineRule="auto"/>
        <w:ind w:left="284"/>
        <w:jc w:val="both"/>
        <w:rPr>
          <w:rFonts w:ascii="Times New Roman" w:hAnsi="Times New Roman"/>
          <w:szCs w:val="24"/>
        </w:rPr>
      </w:pPr>
      <w:r w:rsidRPr="00E25F19">
        <w:rPr>
          <w:rFonts w:ascii="Times New Roman" w:hAnsi="Times New Roman"/>
          <w:szCs w:val="24"/>
          <w:u w:val="single"/>
        </w:rPr>
        <w:t>Results</w:t>
      </w:r>
      <w:r w:rsidRPr="00E25F19">
        <w:rPr>
          <w:rFonts w:ascii="Times New Roman" w:hAnsi="Times New Roman"/>
          <w:szCs w:val="24"/>
        </w:rPr>
        <w:t xml:space="preserve">: </w:t>
      </w:r>
      <w:r w:rsidR="00595F08" w:rsidRPr="00E25F19">
        <w:rPr>
          <w:rFonts w:ascii="Times New Roman" w:hAnsi="Times New Roman"/>
          <w:szCs w:val="24"/>
        </w:rPr>
        <w:t>There are</w:t>
      </w:r>
      <w:r w:rsidRPr="00E25F19">
        <w:rPr>
          <w:rFonts w:ascii="Times New Roman" w:hAnsi="Times New Roman"/>
          <w:szCs w:val="24"/>
        </w:rPr>
        <w:t xml:space="preserve"> significant </w:t>
      </w:r>
      <w:r w:rsidR="00D673BC" w:rsidRPr="00E25F19">
        <w:rPr>
          <w:rFonts w:ascii="Times New Roman" w:hAnsi="Times New Roman"/>
          <w:szCs w:val="24"/>
        </w:rPr>
        <w:t xml:space="preserve">adverse </w:t>
      </w:r>
      <w:r w:rsidRPr="00E25F19">
        <w:rPr>
          <w:rFonts w:ascii="Times New Roman" w:hAnsi="Times New Roman"/>
          <w:szCs w:val="24"/>
        </w:rPr>
        <w:t>effects on formal employment</w:t>
      </w:r>
      <w:r w:rsidR="00782FC5">
        <w:rPr>
          <w:rFonts w:ascii="Times New Roman" w:hAnsi="Times New Roman"/>
          <w:szCs w:val="24"/>
        </w:rPr>
        <w:t xml:space="preserve"> resulting from </w:t>
      </w:r>
      <w:r w:rsidR="0027106D">
        <w:rPr>
          <w:rFonts w:ascii="Times New Roman" w:hAnsi="Times New Roman"/>
          <w:szCs w:val="24"/>
        </w:rPr>
        <w:t xml:space="preserve">the </w:t>
      </w:r>
      <w:r w:rsidR="00782FC5">
        <w:rPr>
          <w:rFonts w:ascii="Times New Roman" w:hAnsi="Times New Roman"/>
          <w:szCs w:val="24"/>
        </w:rPr>
        <w:t>COVID-19 pandemic</w:t>
      </w:r>
      <w:r w:rsidRPr="00E25F19">
        <w:rPr>
          <w:rFonts w:ascii="Times New Roman" w:hAnsi="Times New Roman"/>
          <w:szCs w:val="24"/>
        </w:rPr>
        <w:t xml:space="preserve">, with lengthy job recovery for females and males. The informal sector in </w:t>
      </w:r>
      <w:r w:rsidR="00D673BC" w:rsidRPr="00E25F19">
        <w:rPr>
          <w:rFonts w:ascii="Times New Roman" w:hAnsi="Times New Roman"/>
          <w:szCs w:val="24"/>
        </w:rPr>
        <w:t>both</w:t>
      </w:r>
      <w:r w:rsidRPr="00E25F19">
        <w:rPr>
          <w:rFonts w:ascii="Times New Roman" w:hAnsi="Times New Roman"/>
          <w:szCs w:val="24"/>
        </w:rPr>
        <w:t xml:space="preserve"> gender</w:t>
      </w:r>
      <w:r w:rsidR="00D673BC" w:rsidRPr="00E25F19">
        <w:rPr>
          <w:rFonts w:ascii="Times New Roman" w:hAnsi="Times New Roman"/>
          <w:szCs w:val="24"/>
        </w:rPr>
        <w:t>s</w:t>
      </w:r>
      <w:r w:rsidRPr="00E25F19">
        <w:rPr>
          <w:rFonts w:ascii="Times New Roman" w:hAnsi="Times New Roman"/>
          <w:szCs w:val="24"/>
        </w:rPr>
        <w:t xml:space="preserve"> presents a lower forecasted response to the </w:t>
      </w:r>
      <w:r w:rsidR="0013774F">
        <w:rPr>
          <w:rFonts w:ascii="Times New Roman" w:hAnsi="Times New Roman"/>
          <w:szCs w:val="24"/>
        </w:rPr>
        <w:t>initial production</w:t>
      </w:r>
      <w:r w:rsidRPr="00E25F19">
        <w:rPr>
          <w:rFonts w:ascii="Times New Roman" w:hAnsi="Times New Roman"/>
          <w:szCs w:val="24"/>
        </w:rPr>
        <w:t xml:space="preserve"> shock but </w:t>
      </w:r>
      <w:r w:rsidR="00317BF0" w:rsidRPr="00E25F19">
        <w:rPr>
          <w:rFonts w:ascii="Times New Roman" w:hAnsi="Times New Roman"/>
          <w:szCs w:val="24"/>
        </w:rPr>
        <w:t>substantial</w:t>
      </w:r>
      <w:r w:rsidRPr="00E25F19">
        <w:rPr>
          <w:rFonts w:ascii="Times New Roman" w:hAnsi="Times New Roman"/>
          <w:szCs w:val="24"/>
        </w:rPr>
        <w:t xml:space="preserve"> observed employment losses, potentially linked to structural changes</w:t>
      </w:r>
      <w:r w:rsidR="00782FC5">
        <w:rPr>
          <w:rFonts w:ascii="Times New Roman" w:hAnsi="Times New Roman"/>
          <w:szCs w:val="24"/>
        </w:rPr>
        <w:t xml:space="preserve"> in the market</w:t>
      </w:r>
      <w:r w:rsidRPr="00E25F19">
        <w:rPr>
          <w:rFonts w:ascii="Times New Roman" w:hAnsi="Times New Roman"/>
          <w:szCs w:val="24"/>
        </w:rPr>
        <w:t xml:space="preserve">. </w:t>
      </w:r>
      <w:r w:rsidR="00595F08" w:rsidRPr="00E25F19">
        <w:rPr>
          <w:rFonts w:ascii="Times New Roman" w:hAnsi="Times New Roman"/>
          <w:szCs w:val="24"/>
        </w:rPr>
        <w:t>I</w:t>
      </w:r>
      <w:r w:rsidR="00595F08" w:rsidRPr="00E25F19">
        <w:rPr>
          <w:rFonts w:ascii="Times New Roman" w:hAnsi="Times New Roman"/>
          <w:szCs w:val="24"/>
        </w:rPr>
        <w:t xml:space="preserve">n this </w:t>
      </w:r>
      <w:r w:rsidR="00782FC5">
        <w:rPr>
          <w:rFonts w:ascii="Times New Roman" w:hAnsi="Times New Roman"/>
          <w:szCs w:val="24"/>
        </w:rPr>
        <w:t xml:space="preserve">economic </w:t>
      </w:r>
      <w:r w:rsidR="00595F08" w:rsidRPr="00E25F19">
        <w:rPr>
          <w:rFonts w:ascii="Times New Roman" w:hAnsi="Times New Roman"/>
          <w:szCs w:val="24"/>
        </w:rPr>
        <w:t>crisis</w:t>
      </w:r>
      <w:r w:rsidR="00595F08" w:rsidRPr="00E25F19">
        <w:rPr>
          <w:rFonts w:ascii="Times New Roman" w:hAnsi="Times New Roman"/>
          <w:szCs w:val="24"/>
        </w:rPr>
        <w:t>, t</w:t>
      </w:r>
      <w:r w:rsidRPr="00E25F19">
        <w:rPr>
          <w:rFonts w:ascii="Times New Roman" w:hAnsi="Times New Roman"/>
          <w:szCs w:val="24"/>
        </w:rPr>
        <w:t>he informal sector is not a substitute for formal employment losses.</w:t>
      </w:r>
    </w:p>
    <w:bookmarkEnd w:id="1"/>
    <w:p w14:paraId="7FAB9E59" w14:textId="663E54E6" w:rsidR="000D5669" w:rsidRPr="00E25F19" w:rsidRDefault="000D5669" w:rsidP="000D5669">
      <w:pPr>
        <w:spacing w:after="0" w:line="240" w:lineRule="auto"/>
        <w:ind w:left="284"/>
        <w:jc w:val="both"/>
        <w:rPr>
          <w:rFonts w:ascii="Times New Roman" w:hAnsi="Times New Roman" w:cs="Times New Roman"/>
          <w:lang w:val="pt-BR"/>
        </w:rPr>
      </w:pPr>
      <w:r w:rsidRPr="00E25F19">
        <w:rPr>
          <w:rFonts w:ascii="Times New Roman" w:hAnsi="Times New Roman" w:cs="Times New Roman"/>
          <w:u w:val="single"/>
          <w:lang w:val="pt-BR"/>
        </w:rPr>
        <w:t>Recommendations:</w:t>
      </w:r>
      <w:r w:rsidRPr="00E25F19">
        <w:rPr>
          <w:rFonts w:ascii="Times New Roman" w:hAnsi="Times New Roman" w:cs="Times New Roman"/>
          <w:lang w:val="pt-BR"/>
        </w:rPr>
        <w:t xml:space="preserve"> The </w:t>
      </w:r>
      <w:r w:rsidR="00D249D4">
        <w:rPr>
          <w:rFonts w:ascii="Times New Roman" w:hAnsi="Times New Roman" w:cs="Times New Roman"/>
          <w:lang w:val="pt-BR"/>
        </w:rPr>
        <w:t>complexity</w:t>
      </w:r>
      <w:r w:rsidRPr="00E25F19">
        <w:rPr>
          <w:rFonts w:ascii="Times New Roman" w:hAnsi="Times New Roman" w:cs="Times New Roman"/>
          <w:lang w:val="pt-BR"/>
        </w:rPr>
        <w:t xml:space="preserve"> of this </w:t>
      </w:r>
      <w:r w:rsidR="00782FC5">
        <w:rPr>
          <w:rFonts w:ascii="Times New Roman" w:hAnsi="Times New Roman" w:cs="Times New Roman"/>
          <w:lang w:val="pt-BR"/>
        </w:rPr>
        <w:t>crisis</w:t>
      </w:r>
      <w:r w:rsidRPr="00E25F19">
        <w:rPr>
          <w:rFonts w:ascii="Times New Roman" w:hAnsi="Times New Roman" w:cs="Times New Roman"/>
          <w:lang w:val="pt-BR"/>
        </w:rPr>
        <w:t xml:space="preserve"> suggests crafting policies to improve the easiness of the market to enhance formal job recovery while promoting gender equality.</w:t>
      </w:r>
    </w:p>
    <w:p w14:paraId="75E6BB08" w14:textId="2E480156" w:rsidR="000D5669" w:rsidRPr="00E25F19" w:rsidRDefault="000D5669" w:rsidP="000D5669">
      <w:pPr>
        <w:spacing w:after="0" w:line="240" w:lineRule="auto"/>
        <w:ind w:left="284"/>
        <w:jc w:val="both"/>
        <w:rPr>
          <w:rFonts w:ascii="Times New Roman" w:hAnsi="Times New Roman" w:cs="Times New Roman"/>
          <w:lang w:val="pt-BR"/>
        </w:rPr>
      </w:pPr>
      <w:r w:rsidRPr="00E25F19">
        <w:rPr>
          <w:rFonts w:ascii="Times New Roman" w:hAnsi="Times New Roman" w:cs="Times New Roman"/>
          <w:u w:val="single"/>
          <w:lang w:val="pt-BR"/>
        </w:rPr>
        <w:t>Limitations and implications:</w:t>
      </w:r>
      <w:r w:rsidRPr="00E25F19">
        <w:rPr>
          <w:rFonts w:ascii="Times New Roman" w:hAnsi="Times New Roman" w:cs="Times New Roman"/>
          <w:lang w:val="pt-BR"/>
        </w:rPr>
        <w:t xml:space="preserve"> </w:t>
      </w:r>
      <w:r w:rsidR="00595F08" w:rsidRPr="00E25F19">
        <w:rPr>
          <w:rFonts w:ascii="Times New Roman" w:hAnsi="Times New Roman" w:cs="Times New Roman"/>
          <w:lang w:val="pt-BR"/>
        </w:rPr>
        <w:t>The analysis</w:t>
      </w:r>
      <w:r w:rsidRPr="00E25F19">
        <w:rPr>
          <w:rFonts w:ascii="Times New Roman" w:hAnsi="Times New Roman" w:cs="Times New Roman"/>
          <w:lang w:val="pt-BR"/>
        </w:rPr>
        <w:t xml:space="preserve"> focu</w:t>
      </w:r>
      <w:r w:rsidR="00317BF0" w:rsidRPr="00E25F19">
        <w:rPr>
          <w:rFonts w:ascii="Times New Roman" w:hAnsi="Times New Roman" w:cs="Times New Roman"/>
          <w:lang w:val="pt-BR"/>
        </w:rPr>
        <w:t>se</w:t>
      </w:r>
      <w:r w:rsidRPr="00E25F19">
        <w:rPr>
          <w:rFonts w:ascii="Times New Roman" w:hAnsi="Times New Roman" w:cs="Times New Roman"/>
          <w:lang w:val="pt-BR"/>
        </w:rPr>
        <w:t xml:space="preserve">s only on urban employment, yet this allows </w:t>
      </w:r>
      <w:r w:rsidR="0013774F">
        <w:rPr>
          <w:rFonts w:ascii="Times New Roman" w:hAnsi="Times New Roman" w:cs="Times New Roman"/>
          <w:lang w:val="pt-BR"/>
        </w:rPr>
        <w:t>identifying</w:t>
      </w:r>
      <w:r w:rsidRPr="00E25F19">
        <w:rPr>
          <w:rFonts w:ascii="Times New Roman" w:hAnsi="Times New Roman" w:cs="Times New Roman"/>
          <w:lang w:val="pt-BR"/>
        </w:rPr>
        <w:t xml:space="preserve"> long-run trends and </w:t>
      </w:r>
      <w:r w:rsidR="0037178B" w:rsidRPr="00E25F19">
        <w:rPr>
          <w:rFonts w:ascii="Times New Roman" w:hAnsi="Times New Roman" w:cs="Times New Roman"/>
          <w:lang w:val="pt-BR"/>
        </w:rPr>
        <w:t xml:space="preserve">structural </w:t>
      </w:r>
      <w:r w:rsidRPr="00E25F19">
        <w:rPr>
          <w:rFonts w:ascii="Times New Roman" w:hAnsi="Times New Roman" w:cs="Times New Roman"/>
          <w:lang w:val="pt-BR"/>
        </w:rPr>
        <w:t xml:space="preserve">changes in these markets.  </w:t>
      </w:r>
    </w:p>
    <w:p w14:paraId="2FA2281B" w14:textId="383BD33F" w:rsidR="000D5669" w:rsidRPr="00E25F19" w:rsidRDefault="000D5669" w:rsidP="000D5669">
      <w:pPr>
        <w:spacing w:after="0" w:line="240" w:lineRule="auto"/>
        <w:ind w:left="284"/>
        <w:jc w:val="both"/>
        <w:rPr>
          <w:rFonts w:ascii="Times New Roman" w:hAnsi="Times New Roman" w:cs="Times New Roman"/>
          <w:lang w:val="pt-BR"/>
        </w:rPr>
      </w:pPr>
      <w:r w:rsidRPr="00E25F19">
        <w:rPr>
          <w:rFonts w:ascii="Times New Roman" w:hAnsi="Times New Roman" w:cs="Times New Roman"/>
          <w:u w:val="single"/>
          <w:lang w:val="pt-BR"/>
        </w:rPr>
        <w:t>Main contribution:</w:t>
      </w:r>
      <w:r w:rsidRPr="00E25F19">
        <w:rPr>
          <w:rFonts w:ascii="Times New Roman" w:hAnsi="Times New Roman" w:cs="Times New Roman"/>
          <w:lang w:val="pt-BR"/>
        </w:rPr>
        <w:t xml:space="preserve"> </w:t>
      </w:r>
      <w:r w:rsidR="00595F08" w:rsidRPr="00E25F19">
        <w:rPr>
          <w:rFonts w:ascii="Times New Roman" w:hAnsi="Times New Roman" w:cs="Times New Roman"/>
          <w:lang w:val="pt-BR"/>
        </w:rPr>
        <w:t xml:space="preserve">There exist </w:t>
      </w:r>
      <w:r w:rsidRPr="00E25F19">
        <w:rPr>
          <w:rFonts w:ascii="Times New Roman" w:hAnsi="Times New Roman"/>
          <w:szCs w:val="24"/>
        </w:rPr>
        <w:t xml:space="preserve">diverse employment losses across different segments and a critical structural change in the labor market dynamics resulting from </w:t>
      </w:r>
      <w:r w:rsidRPr="00E25F19">
        <w:rPr>
          <w:rFonts w:ascii="Times New Roman" w:hAnsi="Times New Roman" w:cs="Times New Roman"/>
          <w:lang w:val="pt-BR"/>
        </w:rPr>
        <w:t>the COVID-19 pandemic.</w:t>
      </w:r>
    </w:p>
    <w:bookmarkEnd w:id="0"/>
    <w:p w14:paraId="21A27FF4" w14:textId="77777777" w:rsidR="00E03903" w:rsidRPr="00E25F19" w:rsidRDefault="00E03903" w:rsidP="001A6F3C">
      <w:pPr>
        <w:spacing w:after="0" w:line="240" w:lineRule="auto"/>
        <w:ind w:left="284"/>
        <w:jc w:val="both"/>
        <w:rPr>
          <w:rFonts w:ascii="Times New Roman" w:hAnsi="Times New Roman" w:cs="Times New Roman"/>
          <w:b/>
          <w:bCs/>
          <w:lang w:val="pt-BR"/>
        </w:rPr>
      </w:pPr>
    </w:p>
    <w:p w14:paraId="5EC9486F" w14:textId="56867CC7" w:rsidR="00B835AC" w:rsidRPr="00E25F19" w:rsidRDefault="00B835AC" w:rsidP="001A6F3C">
      <w:pPr>
        <w:spacing w:after="0" w:line="240" w:lineRule="auto"/>
        <w:ind w:left="284"/>
        <w:jc w:val="both"/>
        <w:rPr>
          <w:rFonts w:ascii="Times New Roman" w:hAnsi="Times New Roman" w:cs="Times New Roman"/>
          <w:lang w:val="pt-BR"/>
        </w:rPr>
      </w:pPr>
      <w:r w:rsidRPr="00E25F19">
        <w:rPr>
          <w:rFonts w:ascii="Times New Roman" w:hAnsi="Times New Roman" w:cs="Times New Roman"/>
          <w:b/>
          <w:bCs/>
          <w:lang w:val="pt-BR"/>
        </w:rPr>
        <w:t xml:space="preserve">JEL </w:t>
      </w:r>
      <w:r w:rsidR="00064A24" w:rsidRPr="00E25F19">
        <w:rPr>
          <w:rFonts w:ascii="Times New Roman" w:hAnsi="Times New Roman" w:cs="Times New Roman"/>
          <w:b/>
          <w:bCs/>
          <w:lang w:val="pt-BR"/>
        </w:rPr>
        <w:t>c</w:t>
      </w:r>
      <w:r w:rsidRPr="00E25F19">
        <w:rPr>
          <w:rFonts w:ascii="Times New Roman" w:hAnsi="Times New Roman" w:cs="Times New Roman"/>
          <w:b/>
          <w:bCs/>
          <w:lang w:val="pt-BR"/>
        </w:rPr>
        <w:t>lassification</w:t>
      </w:r>
      <w:r w:rsidRPr="00E25F19">
        <w:rPr>
          <w:rFonts w:ascii="Times New Roman" w:hAnsi="Times New Roman" w:cs="Times New Roman"/>
          <w:lang w:val="pt-BR"/>
        </w:rPr>
        <w:t>:</w:t>
      </w:r>
      <w:r w:rsidR="00987382" w:rsidRPr="00E25F19">
        <w:rPr>
          <w:rFonts w:ascii="Times New Roman" w:hAnsi="Times New Roman" w:cs="Times New Roman"/>
          <w:b/>
          <w:bCs/>
          <w:lang w:val="pt-BR"/>
        </w:rPr>
        <w:t xml:space="preserve"> </w:t>
      </w:r>
      <w:r w:rsidR="00987382" w:rsidRPr="00E25F19">
        <w:rPr>
          <w:rFonts w:ascii="Times New Roman" w:hAnsi="Times New Roman" w:cs="Times New Roman"/>
          <w:lang w:val="pt-BR"/>
        </w:rPr>
        <w:t>E24, E26, J21 J82</w:t>
      </w:r>
      <w:r w:rsidR="00827611" w:rsidRPr="00E25F19">
        <w:rPr>
          <w:rFonts w:ascii="Times New Roman" w:hAnsi="Times New Roman" w:cs="Times New Roman"/>
          <w:lang w:val="pt-BR"/>
        </w:rPr>
        <w:t>.</w:t>
      </w:r>
    </w:p>
    <w:p w14:paraId="0652A582" w14:textId="7996E5CE" w:rsidR="00430F7A" w:rsidRPr="00E25F19" w:rsidRDefault="00B835AC" w:rsidP="001A6F3C">
      <w:pPr>
        <w:spacing w:after="0" w:line="240" w:lineRule="auto"/>
        <w:ind w:left="284"/>
        <w:jc w:val="both"/>
        <w:rPr>
          <w:rFonts w:ascii="Times New Roman" w:hAnsi="Times New Roman"/>
          <w:szCs w:val="24"/>
        </w:rPr>
      </w:pPr>
      <w:bookmarkStart w:id="3" w:name="_Hlk68972870"/>
      <w:r w:rsidRPr="00E25F19">
        <w:rPr>
          <w:rFonts w:ascii="Times New Roman" w:hAnsi="Times New Roman"/>
          <w:b/>
          <w:szCs w:val="24"/>
        </w:rPr>
        <w:t>Key</w:t>
      </w:r>
      <w:r w:rsidR="00451EF9">
        <w:rPr>
          <w:rFonts w:ascii="Times New Roman" w:hAnsi="Times New Roman"/>
          <w:b/>
          <w:szCs w:val="24"/>
        </w:rPr>
        <w:t>w</w:t>
      </w:r>
      <w:r w:rsidRPr="00E25F19">
        <w:rPr>
          <w:rFonts w:ascii="Times New Roman" w:hAnsi="Times New Roman"/>
          <w:b/>
          <w:szCs w:val="24"/>
        </w:rPr>
        <w:t>ords</w:t>
      </w:r>
      <w:r w:rsidRPr="00E25F19">
        <w:rPr>
          <w:rFonts w:ascii="Times New Roman" w:hAnsi="Times New Roman"/>
          <w:szCs w:val="24"/>
        </w:rPr>
        <w:t>: COVID-19, informality, gender gap employment, Mexico, impulse response function.</w:t>
      </w:r>
    </w:p>
    <w:bookmarkEnd w:id="3"/>
    <w:p w14:paraId="52A31C6E" w14:textId="6E99D3B0" w:rsidR="00E8429C" w:rsidRDefault="00E8429C" w:rsidP="004B5968">
      <w:pPr>
        <w:spacing w:after="0" w:line="240" w:lineRule="auto"/>
        <w:ind w:left="284"/>
        <w:jc w:val="center"/>
        <w:rPr>
          <w:rFonts w:ascii="Times New Roman" w:hAnsi="Times New Roman"/>
          <w:b/>
          <w:bCs/>
          <w:sz w:val="24"/>
          <w:szCs w:val="28"/>
          <w:lang w:val="es-MX"/>
        </w:rPr>
      </w:pPr>
    </w:p>
    <w:p w14:paraId="1E5B045F" w14:textId="77777777" w:rsidR="009431B9" w:rsidRDefault="009431B9" w:rsidP="004B5968">
      <w:pPr>
        <w:spacing w:after="0" w:line="240" w:lineRule="auto"/>
        <w:ind w:left="284"/>
        <w:jc w:val="center"/>
        <w:rPr>
          <w:rFonts w:ascii="Times New Roman" w:hAnsi="Times New Roman"/>
          <w:b/>
          <w:bCs/>
          <w:sz w:val="24"/>
          <w:szCs w:val="28"/>
          <w:lang w:val="es-MX"/>
        </w:rPr>
      </w:pPr>
    </w:p>
    <w:p w14:paraId="540212D8" w14:textId="77777777" w:rsidR="009431B9" w:rsidRDefault="009431B9" w:rsidP="004B5968">
      <w:pPr>
        <w:spacing w:after="0" w:line="240" w:lineRule="auto"/>
        <w:ind w:left="284"/>
        <w:jc w:val="center"/>
        <w:rPr>
          <w:rFonts w:ascii="Times New Roman" w:hAnsi="Times New Roman"/>
          <w:b/>
          <w:bCs/>
          <w:sz w:val="24"/>
          <w:szCs w:val="28"/>
          <w:lang w:val="es-MX"/>
        </w:rPr>
      </w:pPr>
    </w:p>
    <w:p w14:paraId="771794EE" w14:textId="3B92CA27" w:rsidR="004B5968" w:rsidRPr="004B5968" w:rsidRDefault="004B5968" w:rsidP="004B5968">
      <w:pPr>
        <w:spacing w:after="0" w:line="240" w:lineRule="auto"/>
        <w:ind w:left="284"/>
        <w:jc w:val="center"/>
        <w:rPr>
          <w:rFonts w:ascii="Times New Roman" w:hAnsi="Times New Roman"/>
          <w:sz w:val="24"/>
          <w:szCs w:val="28"/>
          <w:lang w:val="es-MX"/>
        </w:rPr>
      </w:pPr>
      <w:r w:rsidRPr="004B5968">
        <w:rPr>
          <w:rFonts w:ascii="Times New Roman" w:hAnsi="Times New Roman"/>
          <w:b/>
          <w:bCs/>
          <w:sz w:val="24"/>
          <w:szCs w:val="28"/>
          <w:lang w:val="es-MX"/>
        </w:rPr>
        <w:t>Informalidad, brecha de género en el empleo y COVID-19 en México:</w:t>
      </w:r>
    </w:p>
    <w:p w14:paraId="5EB96479" w14:textId="13657B70" w:rsidR="004B5968" w:rsidRPr="004B5968" w:rsidRDefault="004B5968" w:rsidP="004B5968">
      <w:pPr>
        <w:spacing w:after="0" w:line="240" w:lineRule="auto"/>
        <w:ind w:left="284"/>
        <w:jc w:val="center"/>
        <w:rPr>
          <w:rFonts w:ascii="Times New Roman" w:hAnsi="Times New Roman"/>
          <w:sz w:val="24"/>
          <w:szCs w:val="28"/>
          <w:lang w:val="es-MX"/>
        </w:rPr>
      </w:pPr>
      <w:r w:rsidRPr="004B5968">
        <w:rPr>
          <w:rFonts w:ascii="Times New Roman" w:hAnsi="Times New Roman"/>
          <w:b/>
          <w:bCs/>
          <w:sz w:val="24"/>
          <w:szCs w:val="28"/>
          <w:lang w:val="es-MX"/>
        </w:rPr>
        <w:t>identificando la persistencia y los efectos estructurales dinámicos</w:t>
      </w:r>
    </w:p>
    <w:p w14:paraId="09505319" w14:textId="77777777" w:rsidR="004B5968" w:rsidRPr="004B5968" w:rsidRDefault="004B5968" w:rsidP="004B5968">
      <w:pPr>
        <w:spacing w:after="0" w:line="240" w:lineRule="auto"/>
        <w:ind w:left="284"/>
        <w:jc w:val="center"/>
        <w:rPr>
          <w:rFonts w:ascii="Times New Roman" w:hAnsi="Times New Roman"/>
          <w:sz w:val="24"/>
          <w:szCs w:val="28"/>
          <w:lang w:val="es-MX"/>
        </w:rPr>
      </w:pPr>
    </w:p>
    <w:p w14:paraId="69909117" w14:textId="3E87540B" w:rsidR="004B5968" w:rsidRPr="00E25F19" w:rsidRDefault="00064A24" w:rsidP="004B5968">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Resumen</w:t>
      </w:r>
      <w:r w:rsidR="004B5968" w:rsidRPr="00E25F19">
        <w:rPr>
          <w:rFonts w:ascii="Times New Roman" w:hAnsi="Times New Roman"/>
          <w:b/>
          <w:bCs/>
          <w:szCs w:val="24"/>
          <w:lang w:val="es-MX"/>
        </w:rPr>
        <w:t>:</w:t>
      </w:r>
    </w:p>
    <w:p w14:paraId="5E1A81B8" w14:textId="2CBBE590" w:rsidR="000D5669" w:rsidRPr="00E25F19" w:rsidRDefault="000D5669" w:rsidP="000D5669">
      <w:pPr>
        <w:spacing w:after="0" w:line="240" w:lineRule="auto"/>
        <w:ind w:left="284"/>
        <w:jc w:val="both"/>
        <w:rPr>
          <w:rFonts w:ascii="Times New Roman" w:hAnsi="Times New Roman"/>
          <w:szCs w:val="24"/>
          <w:lang w:val="es-MX"/>
        </w:rPr>
      </w:pPr>
      <w:r w:rsidRPr="00E25F19">
        <w:rPr>
          <w:rFonts w:ascii="Times New Roman" w:hAnsi="Times New Roman"/>
          <w:szCs w:val="24"/>
          <w:u w:val="single"/>
          <w:lang w:val="es-MX"/>
        </w:rPr>
        <w:t>Objetivo</w:t>
      </w:r>
      <w:r w:rsidRPr="00E25F19">
        <w:rPr>
          <w:rFonts w:ascii="Times New Roman" w:hAnsi="Times New Roman"/>
          <w:szCs w:val="24"/>
          <w:lang w:val="es-MX"/>
        </w:rPr>
        <w:t xml:space="preserve">: </w:t>
      </w:r>
      <w:r w:rsidR="00595F08" w:rsidRPr="00E25F19">
        <w:rPr>
          <w:rFonts w:ascii="Times New Roman" w:hAnsi="Times New Roman"/>
          <w:szCs w:val="24"/>
          <w:lang w:val="es-MX"/>
        </w:rPr>
        <w:t>Analizar</w:t>
      </w:r>
      <w:r w:rsidRPr="00E25F19">
        <w:rPr>
          <w:rFonts w:ascii="Times New Roman" w:hAnsi="Times New Roman"/>
          <w:szCs w:val="24"/>
          <w:lang w:val="es-MX"/>
        </w:rPr>
        <w:t xml:space="preserve"> el impacto de la pandemia COVID-19 en la dinámica del mercado laboral mexicano por género, identificando sectores formales e informales.</w:t>
      </w:r>
    </w:p>
    <w:p w14:paraId="39EF5E10" w14:textId="2B16DDDB" w:rsidR="000D5669" w:rsidRPr="00E25F19" w:rsidRDefault="000D5669" w:rsidP="000D5669">
      <w:pPr>
        <w:spacing w:after="0" w:line="240" w:lineRule="auto"/>
        <w:ind w:left="284"/>
        <w:jc w:val="both"/>
        <w:rPr>
          <w:rFonts w:ascii="Times New Roman" w:hAnsi="Times New Roman"/>
          <w:szCs w:val="24"/>
          <w:lang w:val="es-MX"/>
        </w:rPr>
      </w:pPr>
      <w:r w:rsidRPr="00E25F19">
        <w:rPr>
          <w:rFonts w:ascii="Times New Roman" w:hAnsi="Times New Roman"/>
          <w:szCs w:val="24"/>
          <w:u w:val="single"/>
          <w:lang w:val="es-MX"/>
        </w:rPr>
        <w:t>Método</w:t>
      </w:r>
      <w:r w:rsidRPr="00E25F19">
        <w:rPr>
          <w:rFonts w:ascii="Times New Roman" w:hAnsi="Times New Roman"/>
          <w:szCs w:val="24"/>
          <w:lang w:val="es-MX"/>
        </w:rPr>
        <w:t>: Constru</w:t>
      </w:r>
      <w:r w:rsidR="00595F08" w:rsidRPr="00E25F19">
        <w:rPr>
          <w:rFonts w:ascii="Times New Roman" w:hAnsi="Times New Roman"/>
          <w:szCs w:val="24"/>
          <w:lang w:val="es-MX"/>
        </w:rPr>
        <w:t>ir</w:t>
      </w:r>
      <w:r w:rsidRPr="00E25F19">
        <w:rPr>
          <w:rFonts w:ascii="Times New Roman" w:hAnsi="Times New Roman"/>
          <w:szCs w:val="24"/>
          <w:lang w:val="es-MX"/>
        </w:rPr>
        <w:t xml:space="preserve"> series de tiempo micro-fundadas consistentes desde 1987:Q1 hasta 2020:Q1 utilizando las encuestas de empleo urbano mexicano</w:t>
      </w:r>
      <w:r w:rsidR="00782FC5">
        <w:rPr>
          <w:rFonts w:ascii="Times New Roman" w:hAnsi="Times New Roman"/>
          <w:szCs w:val="24"/>
          <w:lang w:val="es-MX"/>
        </w:rPr>
        <w:t>,</w:t>
      </w:r>
      <w:r w:rsidRPr="00E25F19">
        <w:rPr>
          <w:rFonts w:ascii="Times New Roman" w:hAnsi="Times New Roman"/>
          <w:szCs w:val="24"/>
          <w:lang w:val="es-MX"/>
        </w:rPr>
        <w:t xml:space="preserve"> y estima</w:t>
      </w:r>
      <w:r w:rsidR="00595F08" w:rsidRPr="00E25F19">
        <w:rPr>
          <w:rFonts w:ascii="Times New Roman" w:hAnsi="Times New Roman"/>
          <w:szCs w:val="24"/>
          <w:lang w:val="es-MX"/>
        </w:rPr>
        <w:t>r</w:t>
      </w:r>
      <w:r w:rsidRPr="00E25F19">
        <w:rPr>
          <w:rFonts w:ascii="Times New Roman" w:hAnsi="Times New Roman"/>
          <w:szCs w:val="24"/>
          <w:lang w:val="es-MX"/>
        </w:rPr>
        <w:t xml:space="preserve"> un modelo VAR que vincula la producción agregada y cada segmento del mercado.</w:t>
      </w:r>
    </w:p>
    <w:p w14:paraId="2EF86D12" w14:textId="55DF5F25" w:rsidR="000D5669" w:rsidRPr="00E25F19" w:rsidRDefault="000D5669" w:rsidP="000D5669">
      <w:pPr>
        <w:spacing w:after="0" w:line="240" w:lineRule="auto"/>
        <w:ind w:left="284"/>
        <w:jc w:val="both"/>
        <w:rPr>
          <w:rFonts w:ascii="Times New Roman" w:hAnsi="Times New Roman"/>
          <w:szCs w:val="24"/>
          <w:lang w:val="es-MX"/>
        </w:rPr>
      </w:pPr>
      <w:r w:rsidRPr="00E25F19">
        <w:rPr>
          <w:rFonts w:ascii="Times New Roman" w:hAnsi="Times New Roman"/>
          <w:szCs w:val="24"/>
          <w:u w:val="single"/>
          <w:lang w:val="es-MX"/>
        </w:rPr>
        <w:t>Resultados</w:t>
      </w:r>
      <w:r w:rsidRPr="00E25F19">
        <w:rPr>
          <w:rFonts w:ascii="Times New Roman" w:hAnsi="Times New Roman"/>
          <w:szCs w:val="24"/>
          <w:lang w:val="es-MX"/>
        </w:rPr>
        <w:t xml:space="preserve">: </w:t>
      </w:r>
      <w:r w:rsidR="00595F08" w:rsidRPr="00E25F19">
        <w:rPr>
          <w:rFonts w:ascii="Times New Roman" w:hAnsi="Times New Roman"/>
          <w:szCs w:val="24"/>
          <w:lang w:val="es-MX"/>
        </w:rPr>
        <w:t>Existen efectos</w:t>
      </w:r>
      <w:r w:rsidRPr="00E25F19">
        <w:rPr>
          <w:rFonts w:ascii="Times New Roman" w:hAnsi="Times New Roman"/>
          <w:szCs w:val="24"/>
          <w:lang w:val="es-MX"/>
        </w:rPr>
        <w:t xml:space="preserve"> </w:t>
      </w:r>
      <w:r w:rsidR="00D673BC" w:rsidRPr="00E25F19">
        <w:rPr>
          <w:rFonts w:ascii="Times New Roman" w:hAnsi="Times New Roman"/>
          <w:szCs w:val="24"/>
          <w:lang w:val="es-MX"/>
        </w:rPr>
        <w:t xml:space="preserve">adversos </w:t>
      </w:r>
      <w:r w:rsidRPr="00E25F19">
        <w:rPr>
          <w:rFonts w:ascii="Times New Roman" w:hAnsi="Times New Roman"/>
          <w:szCs w:val="24"/>
          <w:lang w:val="es-MX"/>
        </w:rPr>
        <w:t xml:space="preserve">significativos sobre el empleo formal, con una </w:t>
      </w:r>
      <w:r w:rsidR="0037178B" w:rsidRPr="00E25F19">
        <w:rPr>
          <w:rFonts w:ascii="Times New Roman" w:hAnsi="Times New Roman"/>
          <w:szCs w:val="24"/>
          <w:lang w:val="es-MX"/>
        </w:rPr>
        <w:t xml:space="preserve">prolongada </w:t>
      </w:r>
      <w:r w:rsidRPr="00E25F19">
        <w:rPr>
          <w:rFonts w:ascii="Times New Roman" w:hAnsi="Times New Roman"/>
          <w:szCs w:val="24"/>
          <w:lang w:val="es-MX"/>
        </w:rPr>
        <w:t xml:space="preserve">recuperación laboral para mujeres y hombres. El sector informal en </w:t>
      </w:r>
      <w:r w:rsidR="00D673BC" w:rsidRPr="00E25F19">
        <w:rPr>
          <w:rFonts w:ascii="Times New Roman" w:hAnsi="Times New Roman"/>
          <w:szCs w:val="24"/>
          <w:lang w:val="es-MX"/>
        </w:rPr>
        <w:t>ambos</w:t>
      </w:r>
      <w:r w:rsidRPr="00E25F19">
        <w:rPr>
          <w:rFonts w:ascii="Times New Roman" w:hAnsi="Times New Roman"/>
          <w:szCs w:val="24"/>
          <w:lang w:val="es-MX"/>
        </w:rPr>
        <w:t xml:space="preserve"> género</w:t>
      </w:r>
      <w:r w:rsidR="00D673BC" w:rsidRPr="00E25F19">
        <w:rPr>
          <w:rFonts w:ascii="Times New Roman" w:hAnsi="Times New Roman"/>
          <w:szCs w:val="24"/>
          <w:lang w:val="es-MX"/>
        </w:rPr>
        <w:t>s</w:t>
      </w:r>
      <w:r w:rsidRPr="00E25F19">
        <w:rPr>
          <w:rFonts w:ascii="Times New Roman" w:hAnsi="Times New Roman"/>
          <w:szCs w:val="24"/>
          <w:lang w:val="es-MX"/>
        </w:rPr>
        <w:t xml:space="preserve"> presenta un </w:t>
      </w:r>
      <w:r w:rsidR="0037178B">
        <w:rPr>
          <w:rFonts w:ascii="Times New Roman" w:hAnsi="Times New Roman"/>
          <w:szCs w:val="24"/>
          <w:lang w:val="es-MX"/>
        </w:rPr>
        <w:t>pronóstico</w:t>
      </w:r>
      <w:r w:rsidRPr="00E25F19">
        <w:rPr>
          <w:rFonts w:ascii="Times New Roman" w:hAnsi="Times New Roman"/>
          <w:szCs w:val="24"/>
          <w:lang w:val="es-MX"/>
        </w:rPr>
        <w:t xml:space="preserve"> más baj</w:t>
      </w:r>
      <w:r w:rsidR="0037178B">
        <w:rPr>
          <w:rFonts w:ascii="Times New Roman" w:hAnsi="Times New Roman"/>
          <w:szCs w:val="24"/>
          <w:lang w:val="es-MX"/>
        </w:rPr>
        <w:t xml:space="preserve">o </w:t>
      </w:r>
      <w:r w:rsidRPr="00E25F19">
        <w:rPr>
          <w:rFonts w:ascii="Times New Roman" w:hAnsi="Times New Roman"/>
          <w:szCs w:val="24"/>
          <w:lang w:val="es-MX"/>
        </w:rPr>
        <w:t xml:space="preserve">al shock inicial de </w:t>
      </w:r>
      <w:r w:rsidR="0037178B">
        <w:rPr>
          <w:rFonts w:ascii="Times New Roman" w:hAnsi="Times New Roman"/>
          <w:szCs w:val="24"/>
          <w:lang w:val="es-MX"/>
        </w:rPr>
        <w:t xml:space="preserve">prodicción, </w:t>
      </w:r>
      <w:r w:rsidRPr="00E25F19">
        <w:rPr>
          <w:rFonts w:ascii="Times New Roman" w:hAnsi="Times New Roman"/>
          <w:szCs w:val="24"/>
          <w:lang w:val="es-MX"/>
        </w:rPr>
        <w:t xml:space="preserve">pero grandes pérdidas de empleo observadas, potencialmente vinculadas a cambios estructurales </w:t>
      </w:r>
      <w:r w:rsidR="0037178B">
        <w:rPr>
          <w:rFonts w:ascii="Times New Roman" w:hAnsi="Times New Roman"/>
          <w:szCs w:val="24"/>
          <w:lang w:val="es-MX"/>
        </w:rPr>
        <w:t>en el mercado</w:t>
      </w:r>
      <w:r w:rsidRPr="00E25F19">
        <w:rPr>
          <w:rFonts w:ascii="Times New Roman" w:hAnsi="Times New Roman"/>
          <w:szCs w:val="24"/>
          <w:lang w:val="es-MX"/>
        </w:rPr>
        <w:t xml:space="preserve">. </w:t>
      </w:r>
      <w:r w:rsidR="00595F08" w:rsidRPr="00E25F19">
        <w:rPr>
          <w:rFonts w:ascii="Times New Roman" w:hAnsi="Times New Roman"/>
          <w:szCs w:val="24"/>
          <w:lang w:val="es-MX"/>
        </w:rPr>
        <w:t>E</w:t>
      </w:r>
      <w:r w:rsidR="00595F08" w:rsidRPr="00E25F19">
        <w:rPr>
          <w:rFonts w:ascii="Times New Roman" w:hAnsi="Times New Roman"/>
          <w:szCs w:val="24"/>
          <w:lang w:val="es-MX"/>
        </w:rPr>
        <w:t>n esta crisis</w:t>
      </w:r>
      <w:r w:rsidR="00595F08" w:rsidRPr="00E25F19">
        <w:rPr>
          <w:rFonts w:ascii="Times New Roman" w:hAnsi="Times New Roman"/>
          <w:szCs w:val="24"/>
          <w:lang w:val="es-MX"/>
        </w:rPr>
        <w:t xml:space="preserve"> </w:t>
      </w:r>
      <w:r w:rsidR="0037178B">
        <w:rPr>
          <w:rFonts w:ascii="Times New Roman" w:hAnsi="Times New Roman"/>
          <w:szCs w:val="24"/>
          <w:lang w:val="es-MX"/>
        </w:rPr>
        <w:t xml:space="preserve">económica </w:t>
      </w:r>
      <w:r w:rsidR="00595F08" w:rsidRPr="00E25F19">
        <w:rPr>
          <w:rFonts w:ascii="Times New Roman" w:hAnsi="Times New Roman"/>
          <w:szCs w:val="24"/>
          <w:lang w:val="es-MX"/>
        </w:rPr>
        <w:t>e</w:t>
      </w:r>
      <w:r w:rsidRPr="00E25F19">
        <w:rPr>
          <w:rFonts w:ascii="Times New Roman" w:hAnsi="Times New Roman"/>
          <w:szCs w:val="24"/>
          <w:lang w:val="es-MX"/>
        </w:rPr>
        <w:t>l sector informal no sustituye las pérdidas de</w:t>
      </w:r>
      <w:r w:rsidR="0037178B">
        <w:rPr>
          <w:rFonts w:ascii="Times New Roman" w:hAnsi="Times New Roman"/>
          <w:szCs w:val="24"/>
          <w:lang w:val="es-MX"/>
        </w:rPr>
        <w:t>l</w:t>
      </w:r>
      <w:r w:rsidRPr="00E25F19">
        <w:rPr>
          <w:rFonts w:ascii="Times New Roman" w:hAnsi="Times New Roman"/>
          <w:szCs w:val="24"/>
          <w:lang w:val="es-MX"/>
        </w:rPr>
        <w:t xml:space="preserve"> empleo formal.</w:t>
      </w:r>
    </w:p>
    <w:p w14:paraId="0B7D1C8A" w14:textId="1B10FCEF" w:rsidR="000D5669" w:rsidRPr="00E25F19" w:rsidRDefault="000D5669" w:rsidP="000D5669">
      <w:pPr>
        <w:spacing w:after="0" w:line="240" w:lineRule="auto"/>
        <w:ind w:left="284"/>
        <w:jc w:val="both"/>
        <w:rPr>
          <w:rFonts w:ascii="Times New Roman" w:hAnsi="Times New Roman"/>
          <w:szCs w:val="24"/>
          <w:lang w:val="es-MX"/>
        </w:rPr>
      </w:pPr>
      <w:r w:rsidRPr="00E25F19">
        <w:rPr>
          <w:rFonts w:ascii="Times New Roman" w:hAnsi="Times New Roman"/>
          <w:szCs w:val="24"/>
          <w:u w:val="single"/>
          <w:lang w:val="es-MX"/>
        </w:rPr>
        <w:t>Recomendaciones</w:t>
      </w:r>
      <w:r w:rsidRPr="00E25F19">
        <w:rPr>
          <w:rFonts w:ascii="Times New Roman" w:hAnsi="Times New Roman"/>
          <w:szCs w:val="24"/>
          <w:lang w:val="es-MX"/>
        </w:rPr>
        <w:t xml:space="preserve">: La </w:t>
      </w:r>
      <w:r w:rsidR="00D249D4">
        <w:rPr>
          <w:rFonts w:ascii="Times New Roman" w:hAnsi="Times New Roman"/>
          <w:szCs w:val="24"/>
          <w:lang w:val="es-MX"/>
        </w:rPr>
        <w:t>complejidad</w:t>
      </w:r>
      <w:r w:rsidRPr="00E25F19">
        <w:rPr>
          <w:rFonts w:ascii="Times New Roman" w:hAnsi="Times New Roman"/>
          <w:szCs w:val="24"/>
          <w:lang w:val="es-MX"/>
        </w:rPr>
        <w:t xml:space="preserve"> de esta </w:t>
      </w:r>
      <w:r w:rsidR="0037178B">
        <w:rPr>
          <w:rFonts w:ascii="Times New Roman" w:hAnsi="Times New Roman"/>
          <w:szCs w:val="24"/>
          <w:lang w:val="es-MX"/>
        </w:rPr>
        <w:t>crisis</w:t>
      </w:r>
      <w:r w:rsidRPr="00E25F19">
        <w:rPr>
          <w:rFonts w:ascii="Times New Roman" w:hAnsi="Times New Roman"/>
          <w:szCs w:val="24"/>
          <w:lang w:val="es-MX"/>
        </w:rPr>
        <w:t xml:space="preserve"> sugiere </w:t>
      </w:r>
      <w:r w:rsidR="0037178B">
        <w:rPr>
          <w:rFonts w:ascii="Times New Roman" w:hAnsi="Times New Roman"/>
          <w:szCs w:val="24"/>
          <w:lang w:val="es-MX"/>
        </w:rPr>
        <w:t>el diseño</w:t>
      </w:r>
      <w:r w:rsidRPr="00E25F19">
        <w:rPr>
          <w:rFonts w:ascii="Times New Roman" w:hAnsi="Times New Roman"/>
          <w:szCs w:val="24"/>
          <w:lang w:val="es-MX"/>
        </w:rPr>
        <w:t xml:space="preserve"> de políticas para facili</w:t>
      </w:r>
      <w:r w:rsidR="00D249D4">
        <w:rPr>
          <w:rFonts w:ascii="Times New Roman" w:hAnsi="Times New Roman"/>
          <w:szCs w:val="24"/>
          <w:lang w:val="es-MX"/>
        </w:rPr>
        <w:t xml:space="preserve">tar </w:t>
      </w:r>
      <w:r w:rsidRPr="00E25F19">
        <w:rPr>
          <w:rFonts w:ascii="Times New Roman" w:hAnsi="Times New Roman"/>
          <w:szCs w:val="24"/>
          <w:lang w:val="es-MX"/>
        </w:rPr>
        <w:t>la recuperación del empleo formal</w:t>
      </w:r>
      <w:r w:rsidR="00D249D4">
        <w:rPr>
          <w:rFonts w:ascii="Times New Roman" w:hAnsi="Times New Roman"/>
          <w:szCs w:val="24"/>
          <w:lang w:val="es-MX"/>
        </w:rPr>
        <w:t xml:space="preserve"> en el mercado</w:t>
      </w:r>
      <w:r w:rsidRPr="00E25F19">
        <w:rPr>
          <w:rFonts w:ascii="Times New Roman" w:hAnsi="Times New Roman"/>
          <w:szCs w:val="24"/>
          <w:lang w:val="es-MX"/>
        </w:rPr>
        <w:t xml:space="preserve"> al tiempo que promueve la igualdad de género.</w:t>
      </w:r>
    </w:p>
    <w:p w14:paraId="59BC9B2B" w14:textId="140F0DCD" w:rsidR="000D5669" w:rsidRPr="00E25F19" w:rsidRDefault="000D5669" w:rsidP="000D5669">
      <w:pPr>
        <w:spacing w:after="0" w:line="240" w:lineRule="auto"/>
        <w:ind w:left="284"/>
        <w:jc w:val="both"/>
        <w:rPr>
          <w:rFonts w:ascii="Times New Roman" w:hAnsi="Times New Roman"/>
          <w:szCs w:val="24"/>
          <w:lang w:val="es-MX"/>
        </w:rPr>
      </w:pPr>
      <w:r w:rsidRPr="00E25F19">
        <w:rPr>
          <w:rFonts w:ascii="Times New Roman" w:hAnsi="Times New Roman"/>
          <w:szCs w:val="24"/>
          <w:u w:val="single"/>
          <w:lang w:val="es-MX"/>
        </w:rPr>
        <w:t>Limitaciones e implicaciones</w:t>
      </w:r>
      <w:r w:rsidRPr="00E25F19">
        <w:rPr>
          <w:rFonts w:ascii="Times New Roman" w:hAnsi="Times New Roman"/>
          <w:szCs w:val="24"/>
          <w:lang w:val="es-MX"/>
        </w:rPr>
        <w:t xml:space="preserve">: </w:t>
      </w:r>
      <w:r w:rsidR="0037178B">
        <w:rPr>
          <w:rFonts w:ascii="Times New Roman" w:hAnsi="Times New Roman"/>
          <w:szCs w:val="24"/>
          <w:lang w:val="es-MX"/>
        </w:rPr>
        <w:t xml:space="preserve">En análisis se </w:t>
      </w:r>
      <w:r w:rsidRPr="00E25F19">
        <w:rPr>
          <w:rFonts w:ascii="Times New Roman" w:hAnsi="Times New Roman"/>
          <w:szCs w:val="24"/>
          <w:lang w:val="es-MX"/>
        </w:rPr>
        <w:t xml:space="preserve">centra en el empleo urbano, pero esto nos permite identificar las tendencias </w:t>
      </w:r>
      <w:r w:rsidR="0037178B">
        <w:rPr>
          <w:rFonts w:ascii="Times New Roman" w:hAnsi="Times New Roman"/>
          <w:szCs w:val="24"/>
          <w:lang w:val="es-MX"/>
        </w:rPr>
        <w:t>de</w:t>
      </w:r>
      <w:r w:rsidRPr="00E25F19">
        <w:rPr>
          <w:rFonts w:ascii="Times New Roman" w:hAnsi="Times New Roman"/>
          <w:szCs w:val="24"/>
          <w:lang w:val="es-MX"/>
        </w:rPr>
        <w:t xml:space="preserve"> largo plazo y los cambios </w:t>
      </w:r>
      <w:r w:rsidR="0037178B" w:rsidRPr="00E25F19">
        <w:rPr>
          <w:rFonts w:ascii="Times New Roman" w:hAnsi="Times New Roman"/>
          <w:szCs w:val="24"/>
          <w:lang w:val="es-MX"/>
        </w:rPr>
        <w:t xml:space="preserve">estructurales </w:t>
      </w:r>
      <w:r w:rsidRPr="00E25F19">
        <w:rPr>
          <w:rFonts w:ascii="Times New Roman" w:hAnsi="Times New Roman"/>
          <w:szCs w:val="24"/>
          <w:lang w:val="es-MX"/>
        </w:rPr>
        <w:t>en estos mercados.</w:t>
      </w:r>
    </w:p>
    <w:p w14:paraId="5733EF05" w14:textId="5CB3CBF5" w:rsidR="00E8429C" w:rsidRPr="00E25F19" w:rsidRDefault="000D5669" w:rsidP="000D5669">
      <w:pPr>
        <w:spacing w:after="0" w:line="240" w:lineRule="auto"/>
        <w:ind w:left="284"/>
        <w:jc w:val="both"/>
        <w:rPr>
          <w:rFonts w:ascii="Times New Roman" w:hAnsi="Times New Roman"/>
          <w:b/>
          <w:bCs/>
          <w:szCs w:val="24"/>
          <w:lang w:val="es-MX"/>
        </w:rPr>
      </w:pPr>
      <w:r w:rsidRPr="00E25F19">
        <w:rPr>
          <w:rFonts w:ascii="Times New Roman" w:hAnsi="Times New Roman"/>
          <w:szCs w:val="24"/>
          <w:u w:val="single"/>
          <w:lang w:val="es-MX"/>
        </w:rPr>
        <w:t>Contribución principal</w:t>
      </w:r>
      <w:r w:rsidRPr="00E25F19">
        <w:rPr>
          <w:rFonts w:ascii="Times New Roman" w:hAnsi="Times New Roman"/>
          <w:szCs w:val="24"/>
          <w:lang w:val="es-MX"/>
        </w:rPr>
        <w:t xml:space="preserve">: Encontramos pérdidas de empleo </w:t>
      </w:r>
      <w:r w:rsidR="009431B9">
        <w:rPr>
          <w:rFonts w:ascii="Times New Roman" w:hAnsi="Times New Roman"/>
          <w:szCs w:val="24"/>
          <w:lang w:val="es-MX"/>
        </w:rPr>
        <w:t>diferidas por</w:t>
      </w:r>
      <w:r w:rsidRPr="00E25F19">
        <w:rPr>
          <w:rFonts w:ascii="Times New Roman" w:hAnsi="Times New Roman"/>
          <w:szCs w:val="24"/>
          <w:lang w:val="es-MX"/>
        </w:rPr>
        <w:t xml:space="preserve"> segmentos y un cambio estructural en la dinámica del mercado laboral como resultado de la pandemia de COVID-19.</w:t>
      </w:r>
    </w:p>
    <w:p w14:paraId="42069459" w14:textId="77777777" w:rsidR="000D5669" w:rsidRPr="00E25F19" w:rsidRDefault="000D5669" w:rsidP="004B5968">
      <w:pPr>
        <w:spacing w:after="0" w:line="240" w:lineRule="auto"/>
        <w:ind w:left="284"/>
        <w:jc w:val="both"/>
        <w:rPr>
          <w:rFonts w:ascii="Times New Roman" w:hAnsi="Times New Roman"/>
          <w:b/>
          <w:bCs/>
          <w:szCs w:val="24"/>
          <w:lang w:val="es-MX"/>
        </w:rPr>
      </w:pPr>
    </w:p>
    <w:p w14:paraId="2C908380" w14:textId="77777777" w:rsidR="00451EF9" w:rsidRPr="00E25F19" w:rsidRDefault="00451EF9" w:rsidP="00451EF9">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Clasificación JEL</w:t>
      </w:r>
      <w:r w:rsidRPr="00E25F19">
        <w:rPr>
          <w:rFonts w:ascii="Times New Roman" w:hAnsi="Times New Roman"/>
          <w:szCs w:val="24"/>
          <w:lang w:val="es-MX"/>
        </w:rPr>
        <w:t>:</w:t>
      </w:r>
      <w:r w:rsidRPr="00E25F19">
        <w:rPr>
          <w:rFonts w:ascii="Times New Roman" w:hAnsi="Times New Roman"/>
          <w:b/>
          <w:bCs/>
          <w:szCs w:val="24"/>
          <w:lang w:val="es-MX"/>
        </w:rPr>
        <w:t> </w:t>
      </w:r>
      <w:r w:rsidRPr="00E25F19">
        <w:rPr>
          <w:rFonts w:ascii="Times New Roman" w:hAnsi="Times New Roman"/>
          <w:szCs w:val="24"/>
          <w:lang w:val="es-MX"/>
        </w:rPr>
        <w:t>E24, E26, J21 J82</w:t>
      </w:r>
      <w:r>
        <w:rPr>
          <w:rFonts w:ascii="Times New Roman" w:hAnsi="Times New Roman"/>
          <w:szCs w:val="24"/>
          <w:lang w:val="es-MX"/>
        </w:rPr>
        <w:t>.</w:t>
      </w:r>
    </w:p>
    <w:p w14:paraId="2957F382" w14:textId="2A98C692" w:rsidR="004B5968" w:rsidRPr="00E25F19" w:rsidRDefault="004B5968" w:rsidP="004B5968">
      <w:pPr>
        <w:spacing w:after="0" w:line="240" w:lineRule="auto"/>
        <w:ind w:left="284"/>
        <w:jc w:val="both"/>
        <w:rPr>
          <w:rFonts w:ascii="Times New Roman" w:hAnsi="Times New Roman"/>
          <w:szCs w:val="24"/>
          <w:lang w:val="es-MX"/>
        </w:rPr>
      </w:pPr>
      <w:r w:rsidRPr="00E25F19">
        <w:rPr>
          <w:rFonts w:ascii="Times New Roman" w:hAnsi="Times New Roman"/>
          <w:b/>
          <w:bCs/>
          <w:szCs w:val="24"/>
          <w:lang w:val="es-MX"/>
        </w:rPr>
        <w:t>Palabras clave</w:t>
      </w:r>
      <w:r w:rsidRPr="00E25F19">
        <w:rPr>
          <w:rFonts w:ascii="Times New Roman" w:hAnsi="Times New Roman"/>
          <w:szCs w:val="24"/>
          <w:lang w:val="es-MX"/>
        </w:rPr>
        <w:t>: COVID-19, informalidad, brecha de género en empleo, M</w:t>
      </w:r>
      <w:r w:rsidR="00AE105E" w:rsidRPr="00E25F19">
        <w:rPr>
          <w:rFonts w:ascii="Times New Roman" w:hAnsi="Times New Roman"/>
          <w:szCs w:val="24"/>
          <w:lang w:val="es-MX"/>
        </w:rPr>
        <w:t>é</w:t>
      </w:r>
      <w:r w:rsidRPr="00E25F19">
        <w:rPr>
          <w:rFonts w:ascii="Times New Roman" w:hAnsi="Times New Roman"/>
          <w:szCs w:val="24"/>
          <w:lang w:val="es-MX"/>
        </w:rPr>
        <w:t>xico, funciones impulso-respuesta.</w:t>
      </w:r>
    </w:p>
    <w:p w14:paraId="27D9AE1A" w14:textId="64F8EB51" w:rsidR="00D47512" w:rsidRPr="00294B9C" w:rsidRDefault="00D47512" w:rsidP="00DC6EDA">
      <w:pPr>
        <w:pStyle w:val="Prrafodelista"/>
        <w:numPr>
          <w:ilvl w:val="0"/>
          <w:numId w:val="1"/>
        </w:numPr>
        <w:spacing w:after="0" w:line="240" w:lineRule="auto"/>
        <w:rPr>
          <w:rFonts w:asciiTheme="majorBidi" w:hAnsiTheme="majorBidi"/>
          <w:b/>
          <w:sz w:val="24"/>
        </w:rPr>
      </w:pPr>
      <w:r w:rsidRPr="00294B9C">
        <w:rPr>
          <w:rFonts w:asciiTheme="majorBidi" w:hAnsiTheme="majorBidi"/>
          <w:b/>
          <w:sz w:val="24"/>
        </w:rPr>
        <w:lastRenderedPageBreak/>
        <w:t xml:space="preserve">Introduction </w:t>
      </w:r>
    </w:p>
    <w:p w14:paraId="2DBA7538" w14:textId="77777777" w:rsidR="00DC6EDA" w:rsidRPr="00294B9C" w:rsidRDefault="00DC6EDA" w:rsidP="00DC6EDA">
      <w:pPr>
        <w:spacing w:after="0" w:line="240" w:lineRule="auto"/>
        <w:ind w:left="360"/>
        <w:jc w:val="both"/>
        <w:rPr>
          <w:rFonts w:asciiTheme="majorBidi" w:hAnsiTheme="majorBidi"/>
          <w:color w:val="000000"/>
          <w:sz w:val="24"/>
        </w:rPr>
      </w:pPr>
    </w:p>
    <w:p w14:paraId="1071B3F5" w14:textId="10F845DA" w:rsidR="00405CB7" w:rsidRPr="004C731D" w:rsidRDefault="00D47512" w:rsidP="00DC6EDA">
      <w:pPr>
        <w:spacing w:after="0" w:line="240" w:lineRule="auto"/>
        <w:ind w:left="360"/>
        <w:jc w:val="both"/>
        <w:rPr>
          <w:rFonts w:asciiTheme="majorBidi" w:hAnsiTheme="majorBidi"/>
          <w:color w:val="000000"/>
          <w:sz w:val="24"/>
        </w:rPr>
      </w:pPr>
      <w:r w:rsidRPr="00294B9C">
        <w:rPr>
          <w:rFonts w:asciiTheme="majorBidi" w:hAnsiTheme="majorBidi"/>
          <w:color w:val="000000"/>
          <w:sz w:val="24"/>
        </w:rPr>
        <w:t>On March 11</w:t>
      </w:r>
      <w:r w:rsidR="006E196E" w:rsidRPr="00294B9C">
        <w:rPr>
          <w:rFonts w:asciiTheme="majorBidi" w:hAnsiTheme="majorBidi"/>
          <w:color w:val="000000"/>
          <w:sz w:val="24"/>
        </w:rPr>
        <w:t>th</w:t>
      </w:r>
      <w:r w:rsidRPr="00294B9C">
        <w:rPr>
          <w:rFonts w:asciiTheme="majorBidi" w:hAnsiTheme="majorBidi"/>
          <w:color w:val="000000"/>
          <w:sz w:val="24"/>
        </w:rPr>
        <w:t xml:space="preserve">, 2020, the World Health Organization (WHO) declared </w:t>
      </w:r>
      <w:r w:rsidR="004E405B" w:rsidRPr="00294B9C">
        <w:rPr>
          <w:rFonts w:asciiTheme="majorBidi" w:hAnsiTheme="majorBidi"/>
          <w:color w:val="000000"/>
          <w:sz w:val="24"/>
        </w:rPr>
        <w:t xml:space="preserve">the </w:t>
      </w:r>
      <w:r w:rsidRPr="00294B9C">
        <w:rPr>
          <w:rFonts w:asciiTheme="majorBidi" w:hAnsiTheme="majorBidi"/>
          <w:color w:val="000000"/>
          <w:sz w:val="24"/>
        </w:rPr>
        <w:t>C</w:t>
      </w:r>
      <w:r w:rsidR="003F2375" w:rsidRPr="00294B9C">
        <w:rPr>
          <w:rFonts w:asciiTheme="majorBidi" w:hAnsiTheme="majorBidi"/>
          <w:color w:val="000000"/>
          <w:sz w:val="24"/>
        </w:rPr>
        <w:t>OVID</w:t>
      </w:r>
      <w:r w:rsidRPr="00294B9C">
        <w:rPr>
          <w:rFonts w:asciiTheme="majorBidi" w:hAnsiTheme="majorBidi"/>
          <w:color w:val="000000"/>
          <w:sz w:val="24"/>
        </w:rPr>
        <w:t>-19</w:t>
      </w:r>
      <w:r w:rsidR="004E405B" w:rsidRPr="00294B9C">
        <w:rPr>
          <w:rFonts w:asciiTheme="majorBidi" w:hAnsiTheme="majorBidi"/>
          <w:color w:val="000000"/>
          <w:sz w:val="24"/>
        </w:rPr>
        <w:t xml:space="preserve"> ou</w:t>
      </w:r>
      <w:r w:rsidR="00C579D5" w:rsidRPr="00294B9C">
        <w:rPr>
          <w:rFonts w:asciiTheme="majorBidi" w:hAnsiTheme="majorBidi"/>
          <w:color w:val="000000"/>
          <w:sz w:val="24"/>
        </w:rPr>
        <w:t>t</w:t>
      </w:r>
      <w:r w:rsidR="004E405B" w:rsidRPr="00294B9C">
        <w:rPr>
          <w:rFonts w:asciiTheme="majorBidi" w:hAnsiTheme="majorBidi"/>
          <w:color w:val="000000"/>
          <w:sz w:val="24"/>
        </w:rPr>
        <w:t>break</w:t>
      </w:r>
      <w:r w:rsidRPr="00294B9C">
        <w:rPr>
          <w:rFonts w:asciiTheme="majorBidi" w:hAnsiTheme="majorBidi"/>
          <w:color w:val="000000"/>
          <w:sz w:val="24"/>
        </w:rPr>
        <w:t xml:space="preserve"> as</w:t>
      </w:r>
      <w:r w:rsidR="00535CFC" w:rsidRPr="00294B9C">
        <w:rPr>
          <w:rFonts w:asciiTheme="majorBidi" w:hAnsiTheme="majorBidi"/>
          <w:color w:val="000000"/>
          <w:sz w:val="24"/>
        </w:rPr>
        <w:t xml:space="preserve"> a</w:t>
      </w:r>
      <w:r w:rsidRPr="00294B9C">
        <w:rPr>
          <w:rFonts w:asciiTheme="majorBidi" w:hAnsiTheme="majorBidi"/>
          <w:color w:val="000000"/>
          <w:sz w:val="24"/>
        </w:rPr>
        <w:t xml:space="preserve"> pandemic</w:t>
      </w:r>
      <w:r w:rsidR="00535CFC" w:rsidRPr="00294B9C">
        <w:rPr>
          <w:rFonts w:asciiTheme="majorBidi" w:hAnsiTheme="majorBidi"/>
          <w:color w:val="000000"/>
          <w:sz w:val="24"/>
        </w:rPr>
        <w:t>. Since then</w:t>
      </w:r>
      <w:r w:rsidR="00FC1561" w:rsidRPr="00294B9C">
        <w:rPr>
          <w:rFonts w:asciiTheme="majorBidi" w:hAnsiTheme="majorBidi"/>
          <w:color w:val="000000"/>
          <w:sz w:val="24"/>
        </w:rPr>
        <w:t>,</w:t>
      </w:r>
      <w:r w:rsidRPr="00294B9C">
        <w:rPr>
          <w:rFonts w:asciiTheme="majorBidi" w:hAnsiTheme="majorBidi"/>
          <w:color w:val="000000"/>
          <w:sz w:val="24"/>
        </w:rPr>
        <w:t xml:space="preserve"> more than 2 million deaths have been reported worldwide (</w:t>
      </w:r>
      <w:r w:rsidR="00BA3471">
        <w:rPr>
          <w:rFonts w:asciiTheme="majorBidi" w:hAnsiTheme="majorBidi"/>
          <w:color w:val="000000"/>
          <w:sz w:val="24"/>
        </w:rPr>
        <w:t>Dong, Du</w:t>
      </w:r>
      <w:r w:rsidR="00317BF0">
        <w:rPr>
          <w:rFonts w:asciiTheme="majorBidi" w:hAnsiTheme="majorBidi"/>
          <w:color w:val="000000"/>
          <w:sz w:val="24"/>
        </w:rPr>
        <w:t>,</w:t>
      </w:r>
      <w:r w:rsidR="00BA3471">
        <w:rPr>
          <w:rFonts w:asciiTheme="majorBidi" w:hAnsiTheme="majorBidi"/>
          <w:color w:val="000000"/>
          <w:sz w:val="24"/>
        </w:rPr>
        <w:t xml:space="preserve"> and Gardner</w:t>
      </w:r>
      <w:r w:rsidRPr="00294B9C">
        <w:rPr>
          <w:rFonts w:asciiTheme="majorBidi" w:hAnsiTheme="majorBidi"/>
          <w:color w:val="000000"/>
          <w:sz w:val="24"/>
        </w:rPr>
        <w:t>, 202</w:t>
      </w:r>
      <w:r w:rsidR="00BA3471">
        <w:rPr>
          <w:rFonts w:asciiTheme="majorBidi" w:hAnsiTheme="majorBidi"/>
          <w:color w:val="000000"/>
          <w:sz w:val="24"/>
        </w:rPr>
        <w:t>0</w:t>
      </w:r>
      <w:r w:rsidRPr="00D47512">
        <w:rPr>
          <w:rFonts w:asciiTheme="majorBidi" w:hAnsiTheme="majorBidi" w:cstheme="majorBidi"/>
          <w:color w:val="000000"/>
          <w:sz w:val="24"/>
          <w:szCs w:val="24"/>
        </w:rPr>
        <w:t>)</w:t>
      </w:r>
      <w:r w:rsidR="002A0588">
        <w:rPr>
          <w:rFonts w:asciiTheme="majorBidi" w:hAnsiTheme="majorBidi" w:cstheme="majorBidi"/>
          <w:color w:val="000000"/>
          <w:sz w:val="24"/>
          <w:szCs w:val="24"/>
        </w:rPr>
        <w:t>. More than 90 countries have been paralyzed in most of their economic activities, including several production sectors, tourism, and essential services</w:t>
      </w:r>
      <w:r w:rsidR="00535CFC" w:rsidRPr="00294B9C">
        <w:rPr>
          <w:rFonts w:asciiTheme="majorBidi" w:hAnsiTheme="majorBidi"/>
          <w:color w:val="000000"/>
          <w:sz w:val="24"/>
        </w:rPr>
        <w:t xml:space="preserve"> as </w:t>
      </w:r>
      <w:r w:rsidR="00884B23" w:rsidRPr="00294B9C">
        <w:rPr>
          <w:rFonts w:asciiTheme="majorBidi" w:hAnsiTheme="majorBidi"/>
          <w:color w:val="000000"/>
          <w:sz w:val="24"/>
        </w:rPr>
        <w:t>education</w:t>
      </w:r>
      <w:r w:rsidR="00535CFC" w:rsidRPr="00294B9C">
        <w:rPr>
          <w:rFonts w:asciiTheme="majorBidi" w:hAnsiTheme="majorBidi"/>
          <w:color w:val="000000"/>
          <w:sz w:val="24"/>
        </w:rPr>
        <w:t xml:space="preserve"> and other infrastructure investment</w:t>
      </w:r>
      <w:r w:rsidRPr="00294B9C">
        <w:rPr>
          <w:rFonts w:asciiTheme="majorBidi" w:hAnsiTheme="majorBidi"/>
          <w:color w:val="000000"/>
          <w:sz w:val="24"/>
        </w:rPr>
        <w:t xml:space="preserve">. </w:t>
      </w:r>
      <w:r w:rsidR="00405CB7" w:rsidRPr="00294B9C">
        <w:rPr>
          <w:rFonts w:asciiTheme="majorBidi" w:hAnsiTheme="majorBidi"/>
          <w:color w:val="000000"/>
          <w:sz w:val="24"/>
        </w:rPr>
        <w:t xml:space="preserve">Moreover, </w:t>
      </w:r>
      <w:r w:rsidR="00AE79C6">
        <w:rPr>
          <w:rFonts w:asciiTheme="majorBidi" w:hAnsiTheme="majorBidi"/>
          <w:color w:val="000000"/>
          <w:sz w:val="24"/>
        </w:rPr>
        <w:t>significant</w:t>
      </w:r>
      <w:r w:rsidR="00405CB7" w:rsidRPr="00294B9C">
        <w:rPr>
          <w:rFonts w:asciiTheme="majorBidi" w:hAnsiTheme="majorBidi"/>
          <w:color w:val="000000"/>
          <w:sz w:val="24"/>
        </w:rPr>
        <w:t xml:space="preserve"> concern about the pandemic has been </w:t>
      </w:r>
      <w:r w:rsidR="002A0588">
        <w:rPr>
          <w:rFonts w:asciiTheme="majorBidi" w:hAnsiTheme="majorBidi"/>
          <w:color w:val="000000"/>
          <w:sz w:val="24"/>
        </w:rPr>
        <w:t>understanding</w:t>
      </w:r>
      <w:r w:rsidR="00405CB7" w:rsidRPr="00294B9C">
        <w:rPr>
          <w:rFonts w:asciiTheme="majorBidi" w:hAnsiTheme="majorBidi"/>
          <w:color w:val="000000"/>
          <w:sz w:val="24"/>
        </w:rPr>
        <w:t xml:space="preserve"> the structure and dynamics that this </w:t>
      </w:r>
      <w:r w:rsidR="00317BF0">
        <w:rPr>
          <w:rFonts w:asciiTheme="majorBidi" w:hAnsiTheme="majorBidi" w:cstheme="majorBidi"/>
          <w:color w:val="000000"/>
          <w:sz w:val="24"/>
          <w:szCs w:val="24"/>
        </w:rPr>
        <w:t>"</w:t>
      </w:r>
      <w:r w:rsidR="00405CB7" w:rsidRPr="004C731D">
        <w:rPr>
          <w:rFonts w:asciiTheme="majorBidi" w:hAnsiTheme="majorBidi"/>
          <w:color w:val="000000"/>
          <w:sz w:val="24"/>
        </w:rPr>
        <w:t>exogenous shock</w:t>
      </w:r>
      <w:r w:rsidR="00317BF0">
        <w:rPr>
          <w:rFonts w:asciiTheme="majorBidi" w:hAnsiTheme="majorBidi" w:cstheme="majorBidi"/>
          <w:color w:val="000000"/>
          <w:sz w:val="24"/>
          <w:szCs w:val="24"/>
        </w:rPr>
        <w:t>"</w:t>
      </w:r>
      <w:r w:rsidR="00B44DAD">
        <w:rPr>
          <w:rFonts w:asciiTheme="majorBidi" w:hAnsiTheme="majorBidi" w:cstheme="majorBidi"/>
          <w:color w:val="000000"/>
          <w:sz w:val="24"/>
          <w:szCs w:val="24"/>
        </w:rPr>
        <w:t xml:space="preserve"> that</w:t>
      </w:r>
      <w:r w:rsidR="00405CB7" w:rsidRPr="004C731D">
        <w:rPr>
          <w:rFonts w:asciiTheme="majorBidi" w:hAnsiTheme="majorBidi"/>
          <w:color w:val="000000"/>
          <w:sz w:val="24"/>
        </w:rPr>
        <w:t xml:space="preserve"> COVID</w:t>
      </w:r>
      <w:r w:rsidR="00405CB7" w:rsidRPr="0016142F">
        <w:rPr>
          <w:rFonts w:asciiTheme="majorBidi" w:hAnsiTheme="majorBidi"/>
          <w:color w:val="000000"/>
          <w:sz w:val="24"/>
        </w:rPr>
        <w:t xml:space="preserve">-19 represented has </w:t>
      </w:r>
      <w:r w:rsidR="000234CF">
        <w:rPr>
          <w:rFonts w:asciiTheme="majorBidi" w:hAnsiTheme="majorBidi"/>
          <w:color w:val="000000"/>
          <w:sz w:val="24"/>
        </w:rPr>
        <w:t>on</w:t>
      </w:r>
      <w:r w:rsidR="00405CB7" w:rsidRPr="0016142F">
        <w:rPr>
          <w:rFonts w:asciiTheme="majorBidi" w:hAnsiTheme="majorBidi"/>
          <w:color w:val="000000"/>
          <w:sz w:val="24"/>
        </w:rPr>
        <w:t xml:space="preserve"> productivity and employment</w:t>
      </w:r>
      <w:r w:rsidR="00405CB7" w:rsidRPr="00666047">
        <w:rPr>
          <w:rFonts w:asciiTheme="majorBidi" w:hAnsiTheme="majorBidi"/>
          <w:color w:val="000000"/>
          <w:sz w:val="24"/>
        </w:rPr>
        <w:t xml:space="preserve">. </w:t>
      </w:r>
    </w:p>
    <w:p w14:paraId="36764EB4" w14:textId="77777777" w:rsidR="00DC6EDA" w:rsidRPr="00BE052D" w:rsidRDefault="00DC6EDA" w:rsidP="00DC6EDA">
      <w:pPr>
        <w:spacing w:after="0" w:line="240" w:lineRule="auto"/>
        <w:ind w:left="360"/>
        <w:jc w:val="both"/>
        <w:rPr>
          <w:rFonts w:asciiTheme="majorBidi" w:hAnsiTheme="majorBidi"/>
          <w:color w:val="000000"/>
          <w:sz w:val="24"/>
        </w:rPr>
      </w:pPr>
    </w:p>
    <w:p w14:paraId="5BAC56E8" w14:textId="324D9A0F" w:rsidR="00D47512" w:rsidRPr="002F284E" w:rsidRDefault="00D47512" w:rsidP="006160E6">
      <w:pPr>
        <w:spacing w:after="0" w:line="240" w:lineRule="auto"/>
        <w:ind w:left="360"/>
        <w:jc w:val="both"/>
        <w:rPr>
          <w:rFonts w:asciiTheme="majorBidi" w:hAnsiTheme="majorBidi"/>
          <w:color w:val="000000"/>
          <w:sz w:val="24"/>
        </w:rPr>
      </w:pPr>
      <w:r w:rsidRPr="00AA1CA4">
        <w:rPr>
          <w:rFonts w:asciiTheme="majorBidi" w:hAnsiTheme="majorBidi"/>
          <w:color w:val="000000"/>
          <w:sz w:val="24"/>
        </w:rPr>
        <w:t xml:space="preserve">For Mexico, the </w:t>
      </w:r>
      <w:r w:rsidR="0084590D" w:rsidRPr="00AA1CA4">
        <w:rPr>
          <w:rFonts w:asciiTheme="majorBidi" w:hAnsiTheme="majorBidi"/>
          <w:color w:val="000000"/>
          <w:sz w:val="24"/>
        </w:rPr>
        <w:t xml:space="preserve">economic </w:t>
      </w:r>
      <w:r w:rsidRPr="00AA1CA4">
        <w:rPr>
          <w:rFonts w:asciiTheme="majorBidi" w:hAnsiTheme="majorBidi"/>
          <w:color w:val="000000"/>
          <w:sz w:val="24"/>
        </w:rPr>
        <w:t>scenario has not been different</w:t>
      </w:r>
      <w:r w:rsidR="00535CFC" w:rsidRPr="00AA1CA4">
        <w:rPr>
          <w:rFonts w:asciiTheme="majorBidi" w:hAnsiTheme="majorBidi"/>
          <w:color w:val="000000"/>
          <w:sz w:val="24"/>
        </w:rPr>
        <w:t xml:space="preserve"> from the rest of the countries. T</w:t>
      </w:r>
      <w:r w:rsidRPr="00294B9C">
        <w:rPr>
          <w:rFonts w:asciiTheme="majorBidi" w:hAnsiTheme="majorBidi"/>
          <w:color w:val="000000"/>
          <w:sz w:val="24"/>
        </w:rPr>
        <w:t xml:space="preserve">he </w:t>
      </w:r>
      <w:r w:rsidR="00535CFC" w:rsidRPr="00294B9C">
        <w:rPr>
          <w:rFonts w:asciiTheme="majorBidi" w:hAnsiTheme="majorBidi"/>
          <w:color w:val="000000"/>
          <w:sz w:val="24"/>
        </w:rPr>
        <w:t xml:space="preserve">results of the </w:t>
      </w:r>
      <w:r w:rsidRPr="00294B9C">
        <w:rPr>
          <w:rFonts w:asciiTheme="majorBidi" w:hAnsiTheme="majorBidi"/>
          <w:color w:val="000000"/>
          <w:sz w:val="24"/>
        </w:rPr>
        <w:t>economic crisis reported at the end of 2019</w:t>
      </w:r>
      <w:r w:rsidR="006160E6">
        <w:rPr>
          <w:rFonts w:asciiTheme="majorBidi" w:hAnsiTheme="majorBidi" w:cstheme="majorBidi"/>
          <w:color w:val="000000"/>
          <w:sz w:val="24"/>
          <w:szCs w:val="24"/>
        </w:rPr>
        <w:t>,</w:t>
      </w:r>
      <w:r w:rsidRPr="004C731D">
        <w:rPr>
          <w:rFonts w:asciiTheme="majorBidi" w:hAnsiTheme="majorBidi"/>
          <w:color w:val="000000"/>
          <w:sz w:val="24"/>
        </w:rPr>
        <w:t xml:space="preserve"> coupled with the </w:t>
      </w:r>
      <w:r w:rsidR="00DA19CF">
        <w:rPr>
          <w:rFonts w:asciiTheme="majorBidi" w:hAnsiTheme="majorBidi"/>
          <w:color w:val="000000"/>
          <w:sz w:val="24"/>
        </w:rPr>
        <w:t>global pandemic</w:t>
      </w:r>
      <w:r w:rsidR="00535CFC" w:rsidRPr="0016142F">
        <w:rPr>
          <w:rFonts w:asciiTheme="majorBidi" w:hAnsiTheme="majorBidi"/>
          <w:color w:val="000000"/>
          <w:sz w:val="24"/>
        </w:rPr>
        <w:t xml:space="preserve"> trends</w:t>
      </w:r>
      <w:r w:rsidR="006160E6">
        <w:rPr>
          <w:rFonts w:asciiTheme="majorBidi" w:hAnsiTheme="majorBidi" w:cstheme="majorBidi"/>
          <w:color w:val="000000"/>
          <w:sz w:val="24"/>
          <w:szCs w:val="24"/>
        </w:rPr>
        <w:t>,</w:t>
      </w:r>
      <w:r w:rsidR="00535CFC" w:rsidRPr="004C731D">
        <w:rPr>
          <w:rFonts w:asciiTheme="majorBidi" w:hAnsiTheme="majorBidi"/>
          <w:color w:val="000000"/>
          <w:sz w:val="24"/>
        </w:rPr>
        <w:t xml:space="preserve"> </w:t>
      </w:r>
      <w:r w:rsidRPr="004C731D">
        <w:rPr>
          <w:rFonts w:asciiTheme="majorBidi" w:hAnsiTheme="majorBidi"/>
          <w:color w:val="000000"/>
          <w:sz w:val="24"/>
        </w:rPr>
        <w:t>ha</w:t>
      </w:r>
      <w:r w:rsidR="00535CFC" w:rsidRPr="0016142F">
        <w:rPr>
          <w:rFonts w:asciiTheme="majorBidi" w:hAnsiTheme="majorBidi"/>
          <w:color w:val="000000"/>
          <w:sz w:val="24"/>
        </w:rPr>
        <w:t>ve</w:t>
      </w:r>
      <w:r w:rsidRPr="0016142F">
        <w:rPr>
          <w:rFonts w:asciiTheme="majorBidi" w:hAnsiTheme="majorBidi"/>
          <w:color w:val="000000"/>
          <w:sz w:val="24"/>
        </w:rPr>
        <w:t xml:space="preserve"> </w:t>
      </w:r>
      <w:r w:rsidR="00535CFC" w:rsidRPr="0016142F">
        <w:rPr>
          <w:rFonts w:asciiTheme="majorBidi" w:hAnsiTheme="majorBidi"/>
          <w:color w:val="000000"/>
          <w:sz w:val="24"/>
        </w:rPr>
        <w:t>traduced in</w:t>
      </w:r>
      <w:r w:rsidRPr="0016142F">
        <w:rPr>
          <w:rFonts w:asciiTheme="majorBidi" w:hAnsiTheme="majorBidi"/>
          <w:color w:val="000000"/>
          <w:sz w:val="24"/>
        </w:rPr>
        <w:t xml:space="preserve"> </w:t>
      </w:r>
      <w:r w:rsidR="00535CFC" w:rsidRPr="008E7169">
        <w:rPr>
          <w:rFonts w:asciiTheme="majorBidi" w:hAnsiTheme="majorBidi"/>
          <w:color w:val="000000"/>
          <w:sz w:val="24"/>
        </w:rPr>
        <w:t>more</w:t>
      </w:r>
      <w:r w:rsidRPr="008E7169">
        <w:rPr>
          <w:rFonts w:asciiTheme="majorBidi" w:hAnsiTheme="majorBidi"/>
          <w:color w:val="000000"/>
          <w:sz w:val="24"/>
        </w:rPr>
        <w:t xml:space="preserve"> economic uncertainty </w:t>
      </w:r>
      <w:r w:rsidR="00535CFC" w:rsidRPr="00C44071">
        <w:rPr>
          <w:rFonts w:asciiTheme="majorBidi" w:hAnsiTheme="majorBidi"/>
          <w:color w:val="000000"/>
          <w:sz w:val="24"/>
        </w:rPr>
        <w:t xml:space="preserve">and a </w:t>
      </w:r>
      <w:r w:rsidR="00D10E3F">
        <w:rPr>
          <w:rFonts w:asciiTheme="majorBidi" w:hAnsiTheme="majorBidi"/>
          <w:color w:val="000000"/>
          <w:sz w:val="24"/>
        </w:rPr>
        <w:t>halt</w:t>
      </w:r>
      <w:r w:rsidR="00535CFC" w:rsidRPr="00C44071">
        <w:rPr>
          <w:rFonts w:asciiTheme="majorBidi" w:hAnsiTheme="majorBidi"/>
          <w:color w:val="000000"/>
          <w:sz w:val="24"/>
        </w:rPr>
        <w:t xml:space="preserve"> in economic activities, </w:t>
      </w:r>
      <w:r w:rsidRPr="00666047">
        <w:rPr>
          <w:rFonts w:asciiTheme="majorBidi" w:hAnsiTheme="majorBidi"/>
          <w:color w:val="000000"/>
          <w:sz w:val="24"/>
        </w:rPr>
        <w:t>result</w:t>
      </w:r>
      <w:r w:rsidR="00535CFC" w:rsidRPr="00666047">
        <w:rPr>
          <w:rFonts w:asciiTheme="majorBidi" w:hAnsiTheme="majorBidi"/>
          <w:color w:val="000000"/>
          <w:sz w:val="24"/>
        </w:rPr>
        <w:t>ing in</w:t>
      </w:r>
      <w:r w:rsidRPr="00666047">
        <w:rPr>
          <w:rFonts w:asciiTheme="majorBidi" w:hAnsiTheme="majorBidi"/>
          <w:color w:val="000000"/>
          <w:sz w:val="24"/>
        </w:rPr>
        <w:t xml:space="preserve"> more than half a million formal jobs </w:t>
      </w:r>
      <w:r w:rsidR="00535CFC" w:rsidRPr="00D82189">
        <w:rPr>
          <w:rFonts w:asciiTheme="majorBidi" w:hAnsiTheme="majorBidi"/>
          <w:color w:val="000000"/>
          <w:sz w:val="24"/>
        </w:rPr>
        <w:t>l</w:t>
      </w:r>
      <w:r w:rsidRPr="00D82189">
        <w:rPr>
          <w:rFonts w:asciiTheme="majorBidi" w:hAnsiTheme="majorBidi"/>
          <w:color w:val="000000"/>
          <w:sz w:val="24"/>
        </w:rPr>
        <w:t>ost (INEGI, 2020).</w:t>
      </w:r>
    </w:p>
    <w:p w14:paraId="39B5650D" w14:textId="77777777" w:rsidR="00DC6EDA" w:rsidRPr="00BE052D" w:rsidRDefault="00DC6EDA" w:rsidP="00DC6EDA">
      <w:pPr>
        <w:spacing w:after="0" w:line="240" w:lineRule="auto"/>
        <w:ind w:left="360"/>
        <w:jc w:val="both"/>
        <w:rPr>
          <w:rFonts w:asciiTheme="majorBidi" w:hAnsiTheme="majorBidi"/>
          <w:color w:val="000000"/>
          <w:sz w:val="24"/>
        </w:rPr>
      </w:pPr>
    </w:p>
    <w:p w14:paraId="57456936" w14:textId="24096CF5" w:rsidR="00405CB7" w:rsidRPr="004C731D" w:rsidRDefault="00405CB7" w:rsidP="00BB74DA">
      <w:pPr>
        <w:spacing w:after="0" w:line="240" w:lineRule="auto"/>
        <w:ind w:left="360"/>
        <w:jc w:val="both"/>
        <w:rPr>
          <w:rFonts w:asciiTheme="majorBidi" w:hAnsiTheme="majorBidi"/>
          <w:color w:val="000000"/>
          <w:sz w:val="24"/>
        </w:rPr>
      </w:pPr>
      <w:r w:rsidRPr="00AA1CA4">
        <w:rPr>
          <w:rFonts w:asciiTheme="majorBidi" w:hAnsiTheme="majorBidi"/>
          <w:color w:val="000000"/>
          <w:sz w:val="24"/>
        </w:rPr>
        <w:t xml:space="preserve">Analyzing employment in Mexico </w:t>
      </w:r>
      <w:r w:rsidR="00DC6EDA" w:rsidRPr="00AA1CA4">
        <w:rPr>
          <w:rFonts w:asciiTheme="majorBidi" w:hAnsiTheme="majorBidi"/>
          <w:color w:val="000000"/>
          <w:sz w:val="24"/>
        </w:rPr>
        <w:t>re</w:t>
      </w:r>
      <w:r w:rsidRPr="00AA1CA4">
        <w:rPr>
          <w:rFonts w:asciiTheme="majorBidi" w:hAnsiTheme="majorBidi"/>
          <w:color w:val="000000"/>
          <w:sz w:val="24"/>
        </w:rPr>
        <w:t xml:space="preserve">presents difficulties </w:t>
      </w:r>
      <w:r w:rsidR="00DC6EDA" w:rsidRPr="00AA1CA4">
        <w:rPr>
          <w:rFonts w:asciiTheme="majorBidi" w:hAnsiTheme="majorBidi"/>
          <w:color w:val="000000"/>
          <w:sz w:val="24"/>
        </w:rPr>
        <w:t xml:space="preserve">and specific challenges when compared to developed economies. For instance, </w:t>
      </w:r>
      <w:r w:rsidRPr="00AA1CA4">
        <w:rPr>
          <w:rFonts w:asciiTheme="majorBidi" w:hAnsiTheme="majorBidi"/>
          <w:color w:val="000000"/>
          <w:sz w:val="24"/>
        </w:rPr>
        <w:t xml:space="preserve">labor informality in the last quarter of 2019 (pre-COVID-19 scenario) represented 56.2% of the </w:t>
      </w:r>
      <w:r w:rsidR="00147E97" w:rsidRPr="00AA1CA4">
        <w:rPr>
          <w:rFonts w:asciiTheme="majorBidi" w:hAnsiTheme="majorBidi"/>
          <w:color w:val="000000"/>
          <w:sz w:val="24"/>
        </w:rPr>
        <w:t>economically active population</w:t>
      </w:r>
      <w:r w:rsidRPr="00AA1CA4">
        <w:rPr>
          <w:rFonts w:asciiTheme="majorBidi" w:hAnsiTheme="majorBidi"/>
          <w:color w:val="000000"/>
          <w:sz w:val="24"/>
        </w:rPr>
        <w:t xml:space="preserve"> (PEA</w:t>
      </w:r>
      <w:r w:rsidRPr="00CA36CD">
        <w:rPr>
          <w:rFonts w:asciiTheme="majorBidi" w:hAnsiTheme="majorBidi" w:cstheme="majorBidi"/>
          <w:color w:val="000000"/>
          <w:sz w:val="24"/>
          <w:szCs w:val="24"/>
        </w:rPr>
        <w:t>)</w:t>
      </w:r>
      <w:r w:rsidRPr="004C731D">
        <w:rPr>
          <w:rStyle w:val="Refdenotaalpie"/>
          <w:rFonts w:asciiTheme="majorBidi" w:hAnsiTheme="majorBidi"/>
          <w:color w:val="000000"/>
          <w:sz w:val="24"/>
        </w:rPr>
        <w:footnoteReference w:id="2"/>
      </w:r>
      <w:r w:rsidR="002A0588">
        <w:rPr>
          <w:rFonts w:asciiTheme="majorBidi" w:hAnsiTheme="majorBidi" w:cstheme="majorBidi"/>
          <w:color w:val="000000"/>
          <w:sz w:val="24"/>
          <w:szCs w:val="24"/>
        </w:rPr>
        <w:t>.</w:t>
      </w:r>
      <w:r w:rsidRPr="004C731D">
        <w:rPr>
          <w:rFonts w:asciiTheme="majorBidi" w:hAnsiTheme="majorBidi"/>
          <w:color w:val="000000"/>
          <w:sz w:val="24"/>
        </w:rPr>
        <w:t xml:space="preserve"> </w:t>
      </w:r>
      <w:r w:rsidR="002A0588">
        <w:rPr>
          <w:rFonts w:asciiTheme="majorBidi" w:hAnsiTheme="majorBidi"/>
          <w:color w:val="000000"/>
          <w:sz w:val="24"/>
        </w:rPr>
        <w:t>B</w:t>
      </w:r>
      <w:r w:rsidRPr="004C731D">
        <w:rPr>
          <w:rFonts w:asciiTheme="majorBidi" w:hAnsiTheme="majorBidi"/>
          <w:color w:val="000000"/>
          <w:sz w:val="24"/>
        </w:rPr>
        <w:t>y gender for this same period, it was reported that 57.6% of women and</w:t>
      </w:r>
      <w:r w:rsidRPr="0016142F">
        <w:rPr>
          <w:rFonts w:asciiTheme="majorBidi" w:hAnsiTheme="majorBidi"/>
          <w:color w:val="000000"/>
          <w:sz w:val="24"/>
        </w:rPr>
        <w:t xml:space="preserve"> 55.3% of men have informal employment.</w:t>
      </w:r>
      <w:r w:rsidRPr="0016142F">
        <w:t xml:space="preserve"> </w:t>
      </w:r>
      <w:r w:rsidRPr="008E7169">
        <w:rPr>
          <w:rFonts w:asciiTheme="majorBidi" w:hAnsiTheme="majorBidi"/>
          <w:color w:val="000000"/>
          <w:sz w:val="24"/>
        </w:rPr>
        <w:t>According to the above numbers, analyzing the structure of employment (formal and informal) and differentiating gender (men and women) is essential due to the heterogeneity existing between the groups</w:t>
      </w:r>
      <w:r w:rsidR="00AF4A07">
        <w:rPr>
          <w:rFonts w:asciiTheme="majorBidi" w:hAnsiTheme="majorBidi"/>
          <w:color w:val="000000"/>
          <w:sz w:val="24"/>
        </w:rPr>
        <w:t xml:space="preserve">. </w:t>
      </w:r>
      <w:r w:rsidR="002A0588">
        <w:rPr>
          <w:rFonts w:asciiTheme="majorBidi" w:hAnsiTheme="majorBidi"/>
          <w:color w:val="000000"/>
          <w:sz w:val="24"/>
        </w:rPr>
        <w:t>Understanding the underlying structure and analyzing it from this perspective contributes</w:t>
      </w:r>
      <w:r w:rsidRPr="004C731D">
        <w:rPr>
          <w:rFonts w:asciiTheme="majorBidi" w:hAnsiTheme="majorBidi"/>
          <w:color w:val="000000"/>
          <w:sz w:val="24"/>
        </w:rPr>
        <w:t xml:space="preserve"> to a better understanding of this </w:t>
      </w:r>
      <w:r w:rsidR="00AE79C6">
        <w:rPr>
          <w:rFonts w:asciiTheme="majorBidi" w:hAnsiTheme="majorBidi"/>
          <w:color w:val="000000"/>
          <w:sz w:val="24"/>
        </w:rPr>
        <w:t>significant</w:t>
      </w:r>
      <w:r w:rsidRPr="004C731D">
        <w:rPr>
          <w:rFonts w:asciiTheme="majorBidi" w:hAnsiTheme="majorBidi"/>
          <w:color w:val="000000"/>
          <w:sz w:val="24"/>
        </w:rPr>
        <w:t xml:space="preserve"> problem </w:t>
      </w:r>
      <w:r w:rsidR="00BB74DA">
        <w:rPr>
          <w:rFonts w:asciiTheme="majorBidi" w:hAnsiTheme="majorBidi"/>
          <w:color w:val="000000"/>
          <w:sz w:val="24"/>
        </w:rPr>
        <w:t>affecting</w:t>
      </w:r>
      <w:r w:rsidR="00BB74DA" w:rsidRPr="004C731D">
        <w:rPr>
          <w:rFonts w:asciiTheme="majorBidi" w:hAnsiTheme="majorBidi"/>
          <w:color w:val="000000"/>
          <w:sz w:val="24"/>
        </w:rPr>
        <w:t xml:space="preserve"> </w:t>
      </w:r>
      <w:r w:rsidRPr="004C731D">
        <w:rPr>
          <w:rFonts w:asciiTheme="majorBidi" w:hAnsiTheme="majorBidi"/>
          <w:color w:val="000000"/>
          <w:sz w:val="24"/>
        </w:rPr>
        <w:t>our country</w:t>
      </w:r>
      <w:r w:rsidR="004A54C0">
        <w:rPr>
          <w:rFonts w:asciiTheme="majorBidi" w:hAnsiTheme="majorBidi" w:cstheme="majorBidi"/>
          <w:color w:val="000000"/>
          <w:sz w:val="24"/>
          <w:szCs w:val="24"/>
        </w:rPr>
        <w:t>.</w:t>
      </w:r>
    </w:p>
    <w:p w14:paraId="7330C678" w14:textId="77777777" w:rsidR="00DC6EDA" w:rsidRPr="00BE052D" w:rsidRDefault="00DC6EDA" w:rsidP="00DC6EDA">
      <w:pPr>
        <w:spacing w:after="0" w:line="240" w:lineRule="auto"/>
        <w:ind w:left="360"/>
        <w:jc w:val="both"/>
        <w:rPr>
          <w:rFonts w:asciiTheme="majorBidi" w:hAnsiTheme="majorBidi"/>
          <w:color w:val="000000"/>
          <w:sz w:val="24"/>
        </w:rPr>
      </w:pPr>
    </w:p>
    <w:p w14:paraId="2676BC64" w14:textId="59B0ECAC" w:rsidR="007E637A" w:rsidRPr="0016142F" w:rsidRDefault="006D2396" w:rsidP="00E25433">
      <w:pPr>
        <w:spacing w:after="0" w:line="240" w:lineRule="auto"/>
        <w:ind w:left="360"/>
        <w:jc w:val="both"/>
        <w:rPr>
          <w:rFonts w:asciiTheme="majorBidi" w:hAnsiTheme="majorBidi"/>
          <w:color w:val="000000"/>
          <w:sz w:val="24"/>
        </w:rPr>
      </w:pPr>
      <w:r w:rsidRPr="00AA1CA4">
        <w:rPr>
          <w:rFonts w:asciiTheme="majorBidi" w:hAnsiTheme="majorBidi"/>
          <w:color w:val="000000"/>
          <w:sz w:val="24"/>
        </w:rPr>
        <w:t>This</w:t>
      </w:r>
      <w:r w:rsidR="007E637A" w:rsidRPr="00AA1CA4">
        <w:rPr>
          <w:rFonts w:asciiTheme="majorBidi" w:hAnsiTheme="majorBidi"/>
          <w:color w:val="000000"/>
          <w:sz w:val="24"/>
        </w:rPr>
        <w:t xml:space="preserve"> paper analyze</w:t>
      </w:r>
      <w:r w:rsidRPr="00AA1CA4">
        <w:rPr>
          <w:rFonts w:asciiTheme="majorBidi" w:hAnsiTheme="majorBidi"/>
          <w:color w:val="000000"/>
          <w:sz w:val="24"/>
        </w:rPr>
        <w:t>s</w:t>
      </w:r>
      <w:r w:rsidR="007E637A" w:rsidRPr="00AA1CA4">
        <w:rPr>
          <w:rFonts w:asciiTheme="majorBidi" w:hAnsiTheme="majorBidi"/>
          <w:color w:val="000000"/>
          <w:sz w:val="24"/>
        </w:rPr>
        <w:t xml:space="preserve"> and identif</w:t>
      </w:r>
      <w:r w:rsidR="0048206E" w:rsidRPr="00AA1CA4">
        <w:rPr>
          <w:rFonts w:asciiTheme="majorBidi" w:hAnsiTheme="majorBidi"/>
          <w:color w:val="000000"/>
          <w:sz w:val="24"/>
        </w:rPr>
        <w:t>ies</w:t>
      </w:r>
      <w:r w:rsidRPr="00AA1CA4">
        <w:rPr>
          <w:rFonts w:asciiTheme="majorBidi" w:hAnsiTheme="majorBidi"/>
          <w:color w:val="000000"/>
          <w:sz w:val="24"/>
        </w:rPr>
        <w:t xml:space="preserve"> </w:t>
      </w:r>
      <w:r w:rsidR="007E637A" w:rsidRPr="00AA1CA4">
        <w:rPr>
          <w:rFonts w:asciiTheme="majorBidi" w:hAnsiTheme="majorBidi"/>
          <w:color w:val="000000"/>
          <w:sz w:val="24"/>
        </w:rPr>
        <w:t xml:space="preserve">the deepening and persistence of the </w:t>
      </w:r>
      <w:r w:rsidRPr="00AA1CA4">
        <w:rPr>
          <w:rFonts w:asciiTheme="majorBidi" w:hAnsiTheme="majorBidi"/>
          <w:color w:val="000000"/>
          <w:sz w:val="24"/>
        </w:rPr>
        <w:t xml:space="preserve">COVID-19 </w:t>
      </w:r>
      <w:r w:rsidR="00525ED3" w:rsidRPr="00AA1CA4">
        <w:rPr>
          <w:rFonts w:asciiTheme="majorBidi" w:hAnsiTheme="majorBidi"/>
          <w:color w:val="000000"/>
          <w:sz w:val="24"/>
        </w:rPr>
        <w:t xml:space="preserve">economic </w:t>
      </w:r>
      <w:r w:rsidR="007E637A" w:rsidRPr="00AA1CA4">
        <w:rPr>
          <w:rFonts w:asciiTheme="majorBidi" w:hAnsiTheme="majorBidi"/>
          <w:color w:val="000000"/>
          <w:sz w:val="24"/>
        </w:rPr>
        <w:t xml:space="preserve">shock in the </w:t>
      </w:r>
      <w:r w:rsidRPr="00147E97">
        <w:rPr>
          <w:rFonts w:asciiTheme="majorBidi" w:hAnsiTheme="majorBidi"/>
          <w:color w:val="000000"/>
          <w:sz w:val="24"/>
        </w:rPr>
        <w:t xml:space="preserve">dynamics of the </w:t>
      </w:r>
      <w:r w:rsidR="0048206E" w:rsidRPr="00147E97">
        <w:rPr>
          <w:rFonts w:asciiTheme="majorBidi" w:hAnsiTheme="majorBidi"/>
          <w:color w:val="000000"/>
          <w:sz w:val="24"/>
        </w:rPr>
        <w:t xml:space="preserve">Mexican </w:t>
      </w:r>
      <w:r w:rsidR="007E637A" w:rsidRPr="00147E97">
        <w:rPr>
          <w:rFonts w:asciiTheme="majorBidi" w:hAnsiTheme="majorBidi"/>
          <w:color w:val="000000"/>
          <w:sz w:val="24"/>
        </w:rPr>
        <w:t>labor market</w:t>
      </w:r>
      <w:r w:rsidR="006E196E" w:rsidRPr="00147E97">
        <w:rPr>
          <w:rFonts w:asciiTheme="majorBidi" w:hAnsiTheme="majorBidi"/>
          <w:color w:val="000000"/>
          <w:sz w:val="24"/>
        </w:rPr>
        <w:t>.</w:t>
      </w:r>
      <w:r w:rsidRPr="00147E97">
        <w:rPr>
          <w:rFonts w:asciiTheme="majorBidi" w:hAnsiTheme="majorBidi"/>
          <w:color w:val="000000"/>
          <w:sz w:val="24"/>
        </w:rPr>
        <w:t xml:space="preserve"> We</w:t>
      </w:r>
      <w:r w:rsidR="009553AB" w:rsidRPr="00AF4A07">
        <w:rPr>
          <w:rFonts w:asciiTheme="majorBidi" w:hAnsiTheme="majorBidi"/>
          <w:color w:val="000000"/>
          <w:sz w:val="24"/>
        </w:rPr>
        <w:t xml:space="preserve"> pursue</w:t>
      </w:r>
      <w:r w:rsidRPr="00AF4A07">
        <w:rPr>
          <w:rFonts w:asciiTheme="majorBidi" w:hAnsiTheme="majorBidi"/>
          <w:color w:val="000000"/>
          <w:sz w:val="24"/>
        </w:rPr>
        <w:t xml:space="preserve"> this</w:t>
      </w:r>
      <w:r w:rsidR="009553AB" w:rsidRPr="00AF4A07">
        <w:rPr>
          <w:rFonts w:asciiTheme="majorBidi" w:hAnsiTheme="majorBidi"/>
          <w:color w:val="000000"/>
          <w:sz w:val="24"/>
        </w:rPr>
        <w:t xml:space="preserve"> identification by dividing the labor market into two main categories</w:t>
      </w:r>
      <w:r w:rsidR="00EE079A" w:rsidRPr="00294B9C">
        <w:rPr>
          <w:rFonts w:asciiTheme="majorBidi" w:hAnsiTheme="majorBidi"/>
          <w:color w:val="000000"/>
          <w:sz w:val="24"/>
        </w:rPr>
        <w:t xml:space="preserve"> relevant for developing countries</w:t>
      </w:r>
      <w:r w:rsidR="009553AB" w:rsidRPr="00294B9C">
        <w:rPr>
          <w:rFonts w:asciiTheme="majorBidi" w:hAnsiTheme="majorBidi"/>
          <w:color w:val="000000"/>
          <w:sz w:val="24"/>
        </w:rPr>
        <w:t>: formal and informal</w:t>
      </w:r>
      <w:r w:rsidR="00EE079A" w:rsidRPr="00294B9C">
        <w:rPr>
          <w:rFonts w:asciiTheme="majorBidi" w:hAnsiTheme="majorBidi"/>
          <w:color w:val="000000"/>
          <w:sz w:val="24"/>
        </w:rPr>
        <w:t>. Moreover, as other studies suggest (Moreno 200</w:t>
      </w:r>
      <w:r w:rsidR="003D6008" w:rsidRPr="00294B9C">
        <w:rPr>
          <w:rFonts w:asciiTheme="majorBidi" w:hAnsiTheme="majorBidi"/>
          <w:color w:val="000000"/>
          <w:sz w:val="24"/>
        </w:rPr>
        <w:t>7</w:t>
      </w:r>
      <w:r w:rsidR="00FA1E3E" w:rsidRPr="00294B9C">
        <w:rPr>
          <w:rFonts w:asciiTheme="majorBidi" w:hAnsiTheme="majorBidi"/>
          <w:color w:val="000000"/>
          <w:sz w:val="24"/>
        </w:rPr>
        <w:t>,</w:t>
      </w:r>
      <w:r w:rsidR="00EE079A" w:rsidRPr="00294B9C">
        <w:rPr>
          <w:rFonts w:asciiTheme="majorBidi" w:hAnsiTheme="majorBidi"/>
          <w:color w:val="000000"/>
          <w:sz w:val="24"/>
        </w:rPr>
        <w:t xml:space="preserve"> Cuellar 2019), the formality</w:t>
      </w:r>
      <w:r w:rsidR="000234CF">
        <w:rPr>
          <w:rFonts w:asciiTheme="majorBidi" w:hAnsiTheme="majorBidi" w:cstheme="majorBidi"/>
          <w:color w:val="000000"/>
          <w:sz w:val="24"/>
          <w:szCs w:val="24"/>
        </w:rPr>
        <w:t xml:space="preserve"> and </w:t>
      </w:r>
      <w:r w:rsidR="00EE079A" w:rsidRPr="004C731D">
        <w:rPr>
          <w:rFonts w:asciiTheme="majorBidi" w:hAnsiTheme="majorBidi"/>
          <w:color w:val="000000"/>
          <w:sz w:val="24"/>
        </w:rPr>
        <w:t>informality</w:t>
      </w:r>
      <w:r w:rsidR="000234CF">
        <w:rPr>
          <w:rFonts w:asciiTheme="majorBidi" w:hAnsiTheme="majorBidi"/>
          <w:color w:val="000000"/>
          <w:sz w:val="24"/>
        </w:rPr>
        <w:t xml:space="preserve"> segments</w:t>
      </w:r>
      <w:r w:rsidR="00EE079A" w:rsidRPr="004C731D">
        <w:rPr>
          <w:rFonts w:asciiTheme="majorBidi" w:hAnsiTheme="majorBidi"/>
          <w:color w:val="000000"/>
          <w:sz w:val="24"/>
        </w:rPr>
        <w:t xml:space="preserve"> present very different dynamics when </w:t>
      </w:r>
      <w:r w:rsidR="000234CF">
        <w:rPr>
          <w:rFonts w:asciiTheme="majorBidi" w:hAnsiTheme="majorBidi"/>
          <w:color w:val="000000"/>
          <w:sz w:val="24"/>
        </w:rPr>
        <w:t>analyzing</w:t>
      </w:r>
      <w:r w:rsidR="00EE079A" w:rsidRPr="004C731D">
        <w:rPr>
          <w:rFonts w:asciiTheme="majorBidi" w:hAnsiTheme="majorBidi"/>
          <w:color w:val="000000"/>
          <w:sz w:val="24"/>
        </w:rPr>
        <w:t xml:space="preserve"> male and female labor participation</w:t>
      </w:r>
      <w:r w:rsidR="000234CF">
        <w:rPr>
          <w:rFonts w:asciiTheme="majorBidi" w:hAnsiTheme="majorBidi"/>
          <w:color w:val="000000"/>
          <w:sz w:val="24"/>
        </w:rPr>
        <w:t>.</w:t>
      </w:r>
      <w:r w:rsidR="00EE079A" w:rsidRPr="004C731D">
        <w:rPr>
          <w:rFonts w:asciiTheme="majorBidi" w:hAnsiTheme="majorBidi"/>
          <w:color w:val="000000"/>
          <w:sz w:val="24"/>
        </w:rPr>
        <w:t xml:space="preserve"> </w:t>
      </w:r>
      <w:r w:rsidR="000234CF">
        <w:rPr>
          <w:rFonts w:asciiTheme="majorBidi" w:hAnsiTheme="majorBidi"/>
          <w:color w:val="000000"/>
          <w:sz w:val="24"/>
        </w:rPr>
        <w:t>H</w:t>
      </w:r>
      <w:r w:rsidR="00EE079A" w:rsidRPr="004C731D">
        <w:rPr>
          <w:rFonts w:asciiTheme="majorBidi" w:hAnsiTheme="majorBidi"/>
          <w:color w:val="000000"/>
          <w:sz w:val="24"/>
        </w:rPr>
        <w:t>ence</w:t>
      </w:r>
      <w:r w:rsidR="004A54C0">
        <w:rPr>
          <w:rFonts w:asciiTheme="majorBidi" w:hAnsiTheme="majorBidi" w:cstheme="majorBidi"/>
          <w:color w:val="000000"/>
          <w:sz w:val="24"/>
          <w:szCs w:val="24"/>
        </w:rPr>
        <w:t>,</w:t>
      </w:r>
      <w:r w:rsidR="00EE079A" w:rsidRPr="004C731D">
        <w:rPr>
          <w:rFonts w:asciiTheme="majorBidi" w:hAnsiTheme="majorBidi"/>
          <w:color w:val="000000"/>
          <w:sz w:val="24"/>
        </w:rPr>
        <w:t xml:space="preserve"> in this paper, we </w:t>
      </w:r>
      <w:r w:rsidR="00037AF7" w:rsidRPr="00A46182">
        <w:rPr>
          <w:rFonts w:asciiTheme="majorBidi" w:hAnsiTheme="majorBidi"/>
          <w:color w:val="000000"/>
          <w:sz w:val="24"/>
        </w:rPr>
        <w:t xml:space="preserve">also </w:t>
      </w:r>
      <w:r w:rsidR="00EE079A" w:rsidRPr="004C731D">
        <w:rPr>
          <w:rFonts w:asciiTheme="majorBidi" w:hAnsiTheme="majorBidi"/>
          <w:color w:val="000000"/>
          <w:sz w:val="24"/>
        </w:rPr>
        <w:t>divide the labor market by gender, studying the dynamics o</w:t>
      </w:r>
      <w:r w:rsidR="00DA19CF">
        <w:rPr>
          <w:rFonts w:asciiTheme="majorBidi" w:hAnsiTheme="majorBidi"/>
          <w:color w:val="000000"/>
          <w:sz w:val="24"/>
        </w:rPr>
        <w:t>f</w:t>
      </w:r>
      <w:r w:rsidR="00EE079A" w:rsidRPr="004C731D">
        <w:rPr>
          <w:rFonts w:asciiTheme="majorBidi" w:hAnsiTheme="majorBidi"/>
          <w:color w:val="000000"/>
          <w:sz w:val="24"/>
        </w:rPr>
        <w:t xml:space="preserve"> each segment. </w:t>
      </w:r>
    </w:p>
    <w:p w14:paraId="02086DF4" w14:textId="7DE175C5" w:rsidR="0087098D" w:rsidRPr="00BE052D" w:rsidRDefault="0087098D" w:rsidP="00DC6EDA">
      <w:pPr>
        <w:spacing w:after="0" w:line="240" w:lineRule="auto"/>
        <w:ind w:left="360"/>
        <w:jc w:val="both"/>
        <w:rPr>
          <w:rFonts w:asciiTheme="majorBidi" w:hAnsiTheme="majorBidi"/>
          <w:color w:val="000000"/>
          <w:sz w:val="24"/>
        </w:rPr>
      </w:pPr>
    </w:p>
    <w:p w14:paraId="3BDEE417" w14:textId="50FB59DA" w:rsidR="001142DE" w:rsidRPr="00BE052D" w:rsidRDefault="00C875AF" w:rsidP="00E25433">
      <w:pPr>
        <w:spacing w:after="0" w:line="240" w:lineRule="auto"/>
        <w:ind w:left="360"/>
        <w:jc w:val="both"/>
        <w:rPr>
          <w:rFonts w:asciiTheme="majorBidi" w:hAnsiTheme="majorBidi"/>
          <w:color w:val="000000"/>
          <w:sz w:val="24"/>
        </w:rPr>
      </w:pPr>
      <w:r w:rsidRPr="00AA1CA4">
        <w:rPr>
          <w:rFonts w:asciiTheme="majorBidi" w:hAnsiTheme="majorBidi"/>
          <w:color w:val="000000"/>
          <w:sz w:val="24"/>
        </w:rPr>
        <w:t>We build a consistent micro-founded time-series framework for the main employment variables</w:t>
      </w:r>
      <w:r w:rsidR="000234CF">
        <w:rPr>
          <w:rFonts w:asciiTheme="majorBidi" w:hAnsiTheme="majorBidi"/>
          <w:color w:val="000000"/>
          <w:sz w:val="24"/>
        </w:rPr>
        <w:t>. We pursue thi</w:t>
      </w:r>
      <w:r w:rsidR="00DA19CF">
        <w:rPr>
          <w:rFonts w:asciiTheme="majorBidi" w:hAnsiTheme="majorBidi"/>
          <w:color w:val="000000"/>
          <w:sz w:val="24"/>
        </w:rPr>
        <w:t>s</w:t>
      </w:r>
      <w:r w:rsidRPr="00AA1CA4">
        <w:rPr>
          <w:rFonts w:asciiTheme="majorBidi" w:hAnsiTheme="majorBidi"/>
          <w:color w:val="000000"/>
          <w:sz w:val="24"/>
        </w:rPr>
        <w:t xml:space="preserve"> by consistently defining and measuring all </w:t>
      </w:r>
      <w:r w:rsidR="004A54C0">
        <w:rPr>
          <w:rFonts w:asciiTheme="majorBidi" w:hAnsiTheme="majorBidi" w:cstheme="majorBidi"/>
          <w:color w:val="000000"/>
          <w:sz w:val="24"/>
          <w:szCs w:val="24"/>
        </w:rPr>
        <w:t xml:space="preserve">of </w:t>
      </w:r>
      <w:r w:rsidRPr="004C731D">
        <w:rPr>
          <w:rFonts w:asciiTheme="majorBidi" w:hAnsiTheme="majorBidi"/>
          <w:color w:val="000000"/>
          <w:sz w:val="24"/>
        </w:rPr>
        <w:t xml:space="preserve">the relevant dimensions directly from each </w:t>
      </w:r>
      <w:r w:rsidR="00037AF7" w:rsidRPr="004C731D">
        <w:rPr>
          <w:rFonts w:asciiTheme="majorBidi" w:hAnsiTheme="majorBidi"/>
          <w:color w:val="000000"/>
          <w:sz w:val="24"/>
        </w:rPr>
        <w:t>micro</w:t>
      </w:r>
      <w:r w:rsidR="00DA19CF">
        <w:rPr>
          <w:rFonts w:asciiTheme="majorBidi" w:hAnsiTheme="majorBidi"/>
          <w:color w:val="000000"/>
          <w:sz w:val="24"/>
        </w:rPr>
        <w:t xml:space="preserve"> </w:t>
      </w:r>
      <w:r w:rsidR="00037AF7" w:rsidRPr="004C731D">
        <w:rPr>
          <w:rFonts w:asciiTheme="majorBidi" w:hAnsiTheme="majorBidi"/>
          <w:color w:val="000000"/>
          <w:sz w:val="24"/>
        </w:rPr>
        <w:t>dat</w:t>
      </w:r>
      <w:r w:rsidR="00037AF7" w:rsidRPr="0016142F">
        <w:rPr>
          <w:rFonts w:asciiTheme="majorBidi" w:hAnsiTheme="majorBidi"/>
          <w:color w:val="000000"/>
          <w:sz w:val="24"/>
        </w:rPr>
        <w:t xml:space="preserve">a </w:t>
      </w:r>
      <w:r w:rsidR="00D10E3F">
        <w:rPr>
          <w:rFonts w:asciiTheme="majorBidi" w:hAnsiTheme="majorBidi"/>
          <w:color w:val="000000"/>
          <w:sz w:val="24"/>
        </w:rPr>
        <w:t xml:space="preserve">set </w:t>
      </w:r>
      <w:r w:rsidRPr="004C731D">
        <w:rPr>
          <w:rFonts w:asciiTheme="majorBidi" w:hAnsiTheme="majorBidi"/>
          <w:color w:val="000000"/>
          <w:sz w:val="24"/>
        </w:rPr>
        <w:t>on urban employment surveys in Mexico, using quarterly data from 1987</w:t>
      </w:r>
      <w:r w:rsidR="003672F8" w:rsidRPr="00BE052D">
        <w:rPr>
          <w:rFonts w:asciiTheme="majorBidi" w:hAnsiTheme="majorBidi"/>
          <w:color w:val="000000"/>
          <w:sz w:val="24"/>
        </w:rPr>
        <w:t>:Q1</w:t>
      </w:r>
      <w:r w:rsidRPr="00BE052D">
        <w:rPr>
          <w:rFonts w:asciiTheme="majorBidi" w:hAnsiTheme="majorBidi"/>
          <w:color w:val="000000"/>
          <w:sz w:val="24"/>
        </w:rPr>
        <w:t xml:space="preserve"> to 201</w:t>
      </w:r>
      <w:r w:rsidR="003672F8" w:rsidRPr="00BE052D">
        <w:rPr>
          <w:rFonts w:asciiTheme="majorBidi" w:hAnsiTheme="majorBidi"/>
          <w:color w:val="000000"/>
          <w:sz w:val="24"/>
        </w:rPr>
        <w:t>9:Q4</w:t>
      </w:r>
      <w:r w:rsidRPr="00BE052D">
        <w:rPr>
          <w:rFonts w:asciiTheme="majorBidi" w:hAnsiTheme="majorBidi"/>
          <w:color w:val="000000"/>
          <w:sz w:val="24"/>
        </w:rPr>
        <w:t xml:space="preserve"> and following the same urban areas for all </w:t>
      </w:r>
      <w:r w:rsidR="004A54C0">
        <w:rPr>
          <w:rFonts w:asciiTheme="majorBidi" w:hAnsiTheme="majorBidi" w:cstheme="majorBidi"/>
          <w:color w:val="000000"/>
          <w:sz w:val="24"/>
          <w:szCs w:val="24"/>
        </w:rPr>
        <w:t xml:space="preserve">of </w:t>
      </w:r>
      <w:r w:rsidRPr="004C731D">
        <w:rPr>
          <w:rFonts w:asciiTheme="majorBidi" w:hAnsiTheme="majorBidi"/>
          <w:color w:val="000000"/>
          <w:sz w:val="24"/>
        </w:rPr>
        <w:t>this period. We define and estimate a VAR model linking each employment class (formal and informal, by gender) and aggregate production (defined by the real GDP) to identify the deepening and persistence of the initial shock of the recession</w:t>
      </w:r>
      <w:r w:rsidR="000234CF">
        <w:rPr>
          <w:rFonts w:asciiTheme="majorBidi" w:hAnsiTheme="majorBidi"/>
          <w:color w:val="000000"/>
          <w:sz w:val="24"/>
        </w:rPr>
        <w:t>. T</w:t>
      </w:r>
      <w:r w:rsidRPr="004C731D">
        <w:rPr>
          <w:rFonts w:asciiTheme="majorBidi" w:hAnsiTheme="majorBidi"/>
          <w:color w:val="000000"/>
          <w:sz w:val="24"/>
        </w:rPr>
        <w:t xml:space="preserve">hen </w:t>
      </w:r>
      <w:r w:rsidR="006049E2">
        <w:rPr>
          <w:rFonts w:asciiTheme="majorBidi" w:hAnsiTheme="majorBidi" w:cstheme="majorBidi"/>
          <w:color w:val="000000"/>
          <w:sz w:val="24"/>
          <w:szCs w:val="24"/>
        </w:rPr>
        <w:t xml:space="preserve">we </w:t>
      </w:r>
      <w:r w:rsidRPr="004C731D">
        <w:rPr>
          <w:rFonts w:asciiTheme="majorBidi" w:hAnsiTheme="majorBidi"/>
          <w:color w:val="000000"/>
          <w:sz w:val="24"/>
        </w:rPr>
        <w:t xml:space="preserve">estimate the structural impact when </w:t>
      </w:r>
      <w:r w:rsidR="006049E2">
        <w:rPr>
          <w:rFonts w:asciiTheme="majorBidi" w:hAnsiTheme="majorBidi" w:cstheme="majorBidi"/>
          <w:color w:val="000000"/>
          <w:sz w:val="24"/>
          <w:szCs w:val="24"/>
        </w:rPr>
        <w:t>considering</w:t>
      </w:r>
      <w:r w:rsidR="006049E2" w:rsidRPr="004C731D">
        <w:rPr>
          <w:rFonts w:asciiTheme="majorBidi" w:hAnsiTheme="majorBidi"/>
          <w:color w:val="000000"/>
          <w:sz w:val="24"/>
        </w:rPr>
        <w:t xml:space="preserve"> the </w:t>
      </w:r>
      <w:r w:rsidRPr="004C731D">
        <w:rPr>
          <w:rFonts w:asciiTheme="majorBidi" w:hAnsiTheme="majorBidi"/>
          <w:color w:val="000000"/>
          <w:sz w:val="24"/>
        </w:rPr>
        <w:t>pre-COVID-19 forecasting of employment dynamics</w:t>
      </w:r>
      <w:r w:rsidR="00666047">
        <w:rPr>
          <w:rFonts w:asciiTheme="majorBidi" w:hAnsiTheme="majorBidi"/>
          <w:color w:val="000000"/>
          <w:sz w:val="24"/>
        </w:rPr>
        <w:t>,</w:t>
      </w:r>
      <w:r w:rsidRPr="004C731D">
        <w:rPr>
          <w:rFonts w:asciiTheme="majorBidi" w:hAnsiTheme="majorBidi"/>
          <w:color w:val="000000"/>
          <w:sz w:val="24"/>
        </w:rPr>
        <w:t xml:space="preserve"> given the initial observed shock on productivity</w:t>
      </w:r>
      <w:r w:rsidR="00666047">
        <w:rPr>
          <w:rFonts w:asciiTheme="majorBidi" w:hAnsiTheme="majorBidi"/>
          <w:color w:val="000000"/>
          <w:sz w:val="24"/>
        </w:rPr>
        <w:t>,</w:t>
      </w:r>
      <w:r w:rsidRPr="004C731D">
        <w:rPr>
          <w:rFonts w:asciiTheme="majorBidi" w:hAnsiTheme="majorBidi"/>
          <w:color w:val="000000"/>
          <w:sz w:val="24"/>
        </w:rPr>
        <w:t xml:space="preserve"> and compare it with the actua</w:t>
      </w:r>
      <w:r w:rsidRPr="00666047">
        <w:rPr>
          <w:rFonts w:asciiTheme="majorBidi" w:hAnsiTheme="majorBidi"/>
          <w:color w:val="000000"/>
          <w:sz w:val="24"/>
        </w:rPr>
        <w:t xml:space="preserve">l levels of </w:t>
      </w:r>
      <w:r w:rsidRPr="00BE052D">
        <w:rPr>
          <w:rFonts w:asciiTheme="majorBidi" w:hAnsiTheme="majorBidi"/>
          <w:color w:val="000000"/>
          <w:sz w:val="24"/>
        </w:rPr>
        <w:t>employment observed over the year 2020.</w:t>
      </w:r>
    </w:p>
    <w:p w14:paraId="62638D31" w14:textId="55B2D949" w:rsidR="00C875AF" w:rsidRPr="00AA1CA4" w:rsidRDefault="00C875AF" w:rsidP="006049E2">
      <w:pPr>
        <w:spacing w:after="0" w:line="240" w:lineRule="auto"/>
        <w:ind w:left="360"/>
        <w:jc w:val="both"/>
        <w:rPr>
          <w:rFonts w:asciiTheme="majorBidi" w:hAnsiTheme="majorBidi"/>
          <w:color w:val="000000"/>
          <w:sz w:val="24"/>
        </w:rPr>
      </w:pPr>
      <w:r w:rsidRPr="00AA1CA4">
        <w:rPr>
          <w:rFonts w:asciiTheme="majorBidi" w:hAnsiTheme="majorBidi"/>
          <w:color w:val="000000"/>
          <w:sz w:val="24"/>
        </w:rPr>
        <w:lastRenderedPageBreak/>
        <w:t xml:space="preserve">Our work contributes to the economic literature in three areas. First, our work uses consistent urban employment time-series steadily calculated directly from each </w:t>
      </w:r>
      <w:r w:rsidR="00E10D70" w:rsidRPr="00AA1CA4">
        <w:rPr>
          <w:rFonts w:asciiTheme="majorBidi" w:hAnsiTheme="majorBidi"/>
          <w:color w:val="000000"/>
          <w:sz w:val="24"/>
        </w:rPr>
        <w:t xml:space="preserve">available </w:t>
      </w:r>
      <w:r w:rsidRPr="00AA1CA4">
        <w:rPr>
          <w:rFonts w:asciiTheme="majorBidi" w:hAnsiTheme="majorBidi"/>
          <w:color w:val="000000"/>
          <w:sz w:val="24"/>
        </w:rPr>
        <w:t>quarter of the Mexican employment surveys</w:t>
      </w:r>
      <w:r w:rsidR="00E10D70" w:rsidRPr="00AA1CA4">
        <w:rPr>
          <w:rFonts w:asciiTheme="majorBidi" w:hAnsiTheme="majorBidi"/>
          <w:color w:val="000000"/>
          <w:sz w:val="24"/>
        </w:rPr>
        <w:t xml:space="preserve"> </w:t>
      </w:r>
      <w:r w:rsidR="001142DE" w:rsidRPr="00AA1CA4">
        <w:rPr>
          <w:rFonts w:asciiTheme="majorBidi" w:hAnsiTheme="majorBidi"/>
          <w:color w:val="000000"/>
          <w:sz w:val="24"/>
        </w:rPr>
        <w:t>from 1987:Q1 to 2019:Q4</w:t>
      </w:r>
      <w:r w:rsidRPr="00AA1CA4">
        <w:rPr>
          <w:rFonts w:asciiTheme="majorBidi" w:hAnsiTheme="majorBidi"/>
          <w:color w:val="000000"/>
          <w:sz w:val="24"/>
        </w:rPr>
        <w:t xml:space="preserve">, avoiding further conflicts or inconsistencies such as inclusion or exclusion of cities </w:t>
      </w:r>
      <w:r w:rsidR="001142DE" w:rsidRPr="00AA1CA4">
        <w:rPr>
          <w:rFonts w:asciiTheme="majorBidi" w:hAnsiTheme="majorBidi"/>
          <w:color w:val="000000"/>
          <w:sz w:val="24"/>
        </w:rPr>
        <w:t>of</w:t>
      </w:r>
      <w:r w:rsidRPr="00AA1CA4">
        <w:rPr>
          <w:rFonts w:asciiTheme="majorBidi" w:hAnsiTheme="majorBidi"/>
          <w:color w:val="000000"/>
          <w:sz w:val="24"/>
        </w:rPr>
        <w:t xml:space="preserve"> the sample. Second, </w:t>
      </w:r>
      <w:r w:rsidR="00F3787B" w:rsidRPr="00294B9C">
        <w:rPr>
          <w:rFonts w:asciiTheme="majorBidi" w:hAnsiTheme="majorBidi"/>
          <w:color w:val="000000"/>
          <w:sz w:val="24"/>
        </w:rPr>
        <w:t xml:space="preserve">besides the micro-founded consistent methodology of the </w:t>
      </w:r>
      <w:r w:rsidR="009B66E2" w:rsidRPr="00294B9C">
        <w:rPr>
          <w:rFonts w:asciiTheme="majorBidi" w:hAnsiTheme="majorBidi"/>
          <w:color w:val="000000"/>
          <w:sz w:val="24"/>
        </w:rPr>
        <w:t xml:space="preserve">database </w:t>
      </w:r>
      <w:r w:rsidR="00F3787B" w:rsidRPr="00294B9C">
        <w:rPr>
          <w:rFonts w:asciiTheme="majorBidi" w:hAnsiTheme="majorBidi"/>
          <w:color w:val="000000"/>
          <w:sz w:val="24"/>
        </w:rPr>
        <w:t>construction for each</w:t>
      </w:r>
      <w:r w:rsidR="002E5FFB" w:rsidRPr="00294B9C">
        <w:rPr>
          <w:rFonts w:asciiTheme="majorBidi" w:hAnsiTheme="majorBidi"/>
          <w:color w:val="000000"/>
          <w:sz w:val="24"/>
        </w:rPr>
        <w:t xml:space="preserve"> variable</w:t>
      </w:r>
      <w:r w:rsidR="00F3787B" w:rsidRPr="00294B9C">
        <w:rPr>
          <w:rFonts w:asciiTheme="majorBidi" w:hAnsiTheme="majorBidi"/>
          <w:color w:val="000000"/>
          <w:sz w:val="24"/>
        </w:rPr>
        <w:t xml:space="preserve"> time series, </w:t>
      </w:r>
      <w:r w:rsidRPr="00294B9C">
        <w:rPr>
          <w:rFonts w:asciiTheme="majorBidi" w:hAnsiTheme="majorBidi"/>
          <w:color w:val="000000"/>
          <w:sz w:val="24"/>
        </w:rPr>
        <w:t>we estimate a dynamic employment model for both formal</w:t>
      </w:r>
      <w:r w:rsidR="006049E2">
        <w:rPr>
          <w:rFonts w:asciiTheme="majorBidi" w:hAnsiTheme="majorBidi" w:cstheme="majorBidi"/>
          <w:color w:val="000000"/>
          <w:sz w:val="24"/>
          <w:szCs w:val="24"/>
        </w:rPr>
        <w:t>–</w:t>
      </w:r>
      <w:r w:rsidRPr="004C731D">
        <w:rPr>
          <w:rFonts w:asciiTheme="majorBidi" w:hAnsiTheme="majorBidi"/>
          <w:color w:val="000000"/>
          <w:sz w:val="24"/>
        </w:rPr>
        <w:t>informal sectors and</w:t>
      </w:r>
      <w:r w:rsidR="00DA19CF">
        <w:rPr>
          <w:rFonts w:asciiTheme="majorBidi" w:hAnsiTheme="majorBidi"/>
          <w:color w:val="000000"/>
          <w:sz w:val="24"/>
        </w:rPr>
        <w:t>,</w:t>
      </w:r>
      <w:r w:rsidRPr="004C731D">
        <w:rPr>
          <w:rFonts w:asciiTheme="majorBidi" w:hAnsiTheme="majorBidi"/>
          <w:color w:val="000000"/>
          <w:sz w:val="24"/>
        </w:rPr>
        <w:t xml:space="preserve"> by gender, </w:t>
      </w:r>
      <w:r>
        <w:rPr>
          <w:rFonts w:asciiTheme="majorBidi" w:hAnsiTheme="majorBidi" w:cstheme="majorBidi"/>
          <w:color w:val="000000"/>
          <w:sz w:val="24"/>
          <w:szCs w:val="24"/>
        </w:rPr>
        <w:t>identify</w:t>
      </w:r>
      <w:r w:rsidRPr="004C731D">
        <w:rPr>
          <w:rFonts w:asciiTheme="majorBidi" w:hAnsiTheme="majorBidi"/>
          <w:color w:val="000000"/>
          <w:sz w:val="24"/>
        </w:rPr>
        <w:t xml:space="preserve"> long-run structural </w:t>
      </w:r>
      <w:r w:rsidR="00E10D70" w:rsidRPr="004C731D">
        <w:rPr>
          <w:rFonts w:asciiTheme="majorBidi" w:hAnsiTheme="majorBidi"/>
          <w:color w:val="000000"/>
          <w:sz w:val="24"/>
        </w:rPr>
        <w:t xml:space="preserve">differences in the </w:t>
      </w:r>
      <w:r w:rsidRPr="0016142F">
        <w:rPr>
          <w:rFonts w:asciiTheme="majorBidi" w:hAnsiTheme="majorBidi"/>
          <w:color w:val="000000"/>
          <w:sz w:val="24"/>
        </w:rPr>
        <w:t>dynamics</w:t>
      </w:r>
      <w:r w:rsidR="00E10D70" w:rsidRPr="0016142F">
        <w:rPr>
          <w:rFonts w:asciiTheme="majorBidi" w:hAnsiTheme="majorBidi"/>
          <w:color w:val="000000"/>
          <w:sz w:val="24"/>
        </w:rPr>
        <w:t xml:space="preserve"> of each </w:t>
      </w:r>
      <w:r w:rsidR="006049E2">
        <w:rPr>
          <w:rFonts w:asciiTheme="majorBidi" w:hAnsiTheme="majorBidi" w:cstheme="majorBidi"/>
          <w:color w:val="000000"/>
          <w:sz w:val="24"/>
          <w:szCs w:val="24"/>
        </w:rPr>
        <w:t xml:space="preserve">market </w:t>
      </w:r>
      <w:r w:rsidR="00E10D70" w:rsidRPr="004C731D">
        <w:rPr>
          <w:rFonts w:asciiTheme="majorBidi" w:hAnsiTheme="majorBidi"/>
          <w:color w:val="000000"/>
          <w:sz w:val="24"/>
        </w:rPr>
        <w:t xml:space="preserve">segment </w:t>
      </w:r>
      <w:r w:rsidR="002E5FFB" w:rsidRPr="004C731D">
        <w:rPr>
          <w:rFonts w:asciiTheme="majorBidi" w:hAnsiTheme="majorBidi"/>
          <w:color w:val="000000"/>
          <w:sz w:val="24"/>
        </w:rPr>
        <w:t>for the country</w:t>
      </w:r>
      <w:r w:rsidR="009B66E2" w:rsidRPr="004C731D">
        <w:rPr>
          <w:rFonts w:asciiTheme="majorBidi" w:hAnsiTheme="majorBidi"/>
          <w:color w:val="000000"/>
          <w:sz w:val="24"/>
        </w:rPr>
        <w:t xml:space="preserve"> through impulse-response functions</w:t>
      </w:r>
      <w:r w:rsidR="006049E2">
        <w:rPr>
          <w:rFonts w:asciiTheme="majorBidi" w:hAnsiTheme="majorBidi" w:cstheme="majorBidi"/>
          <w:color w:val="000000"/>
          <w:sz w:val="24"/>
          <w:szCs w:val="24"/>
        </w:rPr>
        <w:t>,</w:t>
      </w:r>
      <w:r w:rsidR="006049E2" w:rsidRPr="004C731D">
        <w:rPr>
          <w:rFonts w:asciiTheme="majorBidi" w:hAnsiTheme="majorBidi"/>
          <w:color w:val="000000"/>
          <w:sz w:val="24"/>
        </w:rPr>
        <w:t xml:space="preserve"> </w:t>
      </w:r>
      <w:r w:rsidR="009B66E2" w:rsidRPr="004C731D">
        <w:rPr>
          <w:rFonts w:asciiTheme="majorBidi" w:hAnsiTheme="majorBidi"/>
          <w:color w:val="000000"/>
          <w:sz w:val="24"/>
        </w:rPr>
        <w:t>compar</w:t>
      </w:r>
      <w:r w:rsidR="006049E2" w:rsidRPr="0016142F">
        <w:rPr>
          <w:rFonts w:asciiTheme="majorBidi" w:hAnsiTheme="majorBidi"/>
          <w:color w:val="000000"/>
          <w:sz w:val="24"/>
        </w:rPr>
        <w:t>e</w:t>
      </w:r>
      <w:r w:rsidR="009B66E2" w:rsidRPr="0016142F">
        <w:rPr>
          <w:rFonts w:asciiTheme="majorBidi" w:hAnsiTheme="majorBidi"/>
          <w:color w:val="000000"/>
          <w:sz w:val="24"/>
        </w:rPr>
        <w:t xml:space="preserve"> </w:t>
      </w:r>
      <w:r w:rsidR="006049E2">
        <w:rPr>
          <w:rFonts w:asciiTheme="majorBidi" w:hAnsiTheme="majorBidi" w:cstheme="majorBidi"/>
          <w:color w:val="000000"/>
          <w:sz w:val="24"/>
          <w:szCs w:val="24"/>
        </w:rPr>
        <w:t xml:space="preserve">previous </w:t>
      </w:r>
      <w:r w:rsidR="009B66E2" w:rsidRPr="004C731D">
        <w:rPr>
          <w:rFonts w:asciiTheme="majorBidi" w:hAnsiTheme="majorBidi"/>
          <w:color w:val="000000"/>
          <w:sz w:val="24"/>
        </w:rPr>
        <w:t xml:space="preserve">evolution to the COVID-19 trends, </w:t>
      </w:r>
      <w:r w:rsidR="006049E2">
        <w:rPr>
          <w:rFonts w:asciiTheme="majorBidi" w:hAnsiTheme="majorBidi" w:cstheme="majorBidi"/>
          <w:color w:val="000000"/>
          <w:sz w:val="24"/>
          <w:szCs w:val="24"/>
        </w:rPr>
        <w:t xml:space="preserve">and </w:t>
      </w:r>
      <w:r w:rsidR="009B66E2">
        <w:rPr>
          <w:rFonts w:asciiTheme="majorBidi" w:hAnsiTheme="majorBidi" w:cstheme="majorBidi"/>
          <w:color w:val="000000"/>
          <w:sz w:val="24"/>
          <w:szCs w:val="24"/>
        </w:rPr>
        <w:t>identify</w:t>
      </w:r>
      <w:r w:rsidR="009B66E2" w:rsidRPr="004C731D">
        <w:rPr>
          <w:rFonts w:asciiTheme="majorBidi" w:hAnsiTheme="majorBidi"/>
          <w:color w:val="000000"/>
          <w:sz w:val="24"/>
        </w:rPr>
        <w:t xml:space="preserve"> structural changes in the market once the effects of the initial shock on production </w:t>
      </w:r>
      <w:r w:rsidR="006049E2">
        <w:rPr>
          <w:rFonts w:asciiTheme="majorBidi" w:hAnsiTheme="majorBidi" w:cstheme="majorBidi"/>
          <w:color w:val="000000"/>
          <w:sz w:val="24"/>
          <w:szCs w:val="24"/>
        </w:rPr>
        <w:t xml:space="preserve">are </w:t>
      </w:r>
      <w:r w:rsidR="009B66E2" w:rsidRPr="004C731D">
        <w:rPr>
          <w:rFonts w:asciiTheme="majorBidi" w:hAnsiTheme="majorBidi"/>
          <w:color w:val="000000"/>
          <w:sz w:val="24"/>
        </w:rPr>
        <w:t>considered and compared to the observed employment dynamics</w:t>
      </w:r>
      <w:r w:rsidR="00E10D70" w:rsidRPr="004C731D">
        <w:rPr>
          <w:rFonts w:asciiTheme="majorBidi" w:hAnsiTheme="majorBidi"/>
          <w:color w:val="000000"/>
          <w:sz w:val="24"/>
        </w:rPr>
        <w:t xml:space="preserve">. </w:t>
      </w:r>
      <w:r w:rsidR="00F3787B" w:rsidRPr="0016142F">
        <w:rPr>
          <w:rFonts w:asciiTheme="majorBidi" w:hAnsiTheme="majorBidi"/>
          <w:color w:val="000000"/>
          <w:sz w:val="24"/>
        </w:rPr>
        <w:t xml:space="preserve">Finally, our work estimates the recovery period for each </w:t>
      </w:r>
      <w:r w:rsidR="00277358" w:rsidRPr="0016142F">
        <w:rPr>
          <w:rFonts w:asciiTheme="majorBidi" w:hAnsiTheme="majorBidi"/>
          <w:color w:val="000000"/>
          <w:sz w:val="24"/>
        </w:rPr>
        <w:t xml:space="preserve">defined </w:t>
      </w:r>
      <w:r w:rsidR="00F3787B" w:rsidRPr="00BE052D">
        <w:rPr>
          <w:rFonts w:asciiTheme="majorBidi" w:hAnsiTheme="majorBidi"/>
          <w:color w:val="000000"/>
          <w:sz w:val="24"/>
        </w:rPr>
        <w:t>segment of the labor market but identifies long-run permanent effects derived from COVID-19 shock over the Mexican economy</w:t>
      </w:r>
      <w:r w:rsidR="00277358" w:rsidRPr="00BE052D">
        <w:rPr>
          <w:rFonts w:asciiTheme="majorBidi" w:hAnsiTheme="majorBidi"/>
          <w:color w:val="000000"/>
          <w:sz w:val="24"/>
        </w:rPr>
        <w:t>, particularly on the formal sector</w:t>
      </w:r>
      <w:r w:rsidR="00F3787B" w:rsidRPr="00BE052D">
        <w:rPr>
          <w:rFonts w:asciiTheme="majorBidi" w:hAnsiTheme="majorBidi"/>
          <w:color w:val="000000"/>
          <w:sz w:val="24"/>
        </w:rPr>
        <w:t>.</w:t>
      </w:r>
      <w:r w:rsidRPr="00AA1CA4">
        <w:rPr>
          <w:rFonts w:asciiTheme="majorBidi" w:hAnsiTheme="majorBidi"/>
          <w:color w:val="000000"/>
          <w:sz w:val="24"/>
        </w:rPr>
        <w:t xml:space="preserve">  </w:t>
      </w:r>
    </w:p>
    <w:p w14:paraId="5E605870" w14:textId="77777777" w:rsidR="00DC6EDA" w:rsidRPr="00AA1CA4" w:rsidRDefault="00DC6EDA" w:rsidP="00DC6EDA">
      <w:pPr>
        <w:spacing w:after="0" w:line="240" w:lineRule="auto"/>
        <w:ind w:left="360"/>
        <w:jc w:val="both"/>
        <w:rPr>
          <w:rFonts w:asciiTheme="majorBidi" w:hAnsiTheme="majorBidi"/>
          <w:color w:val="000000"/>
          <w:sz w:val="24"/>
        </w:rPr>
      </w:pPr>
    </w:p>
    <w:p w14:paraId="67BDFF69" w14:textId="74235D16" w:rsidR="00D47512" w:rsidRPr="00AA1CA4" w:rsidRDefault="00D47512" w:rsidP="006E1FD0">
      <w:pPr>
        <w:spacing w:after="0" w:line="240" w:lineRule="auto"/>
        <w:ind w:left="360"/>
        <w:jc w:val="both"/>
        <w:rPr>
          <w:rFonts w:asciiTheme="majorBidi" w:hAnsiTheme="majorBidi"/>
          <w:color w:val="000000"/>
          <w:sz w:val="24"/>
        </w:rPr>
      </w:pPr>
      <w:r w:rsidRPr="00294B9C">
        <w:rPr>
          <w:rFonts w:asciiTheme="majorBidi" w:hAnsiTheme="majorBidi"/>
          <w:color w:val="000000"/>
          <w:sz w:val="24"/>
        </w:rPr>
        <w:t>Th</w:t>
      </w:r>
      <w:r w:rsidR="00B45978" w:rsidRPr="00294B9C">
        <w:rPr>
          <w:rFonts w:asciiTheme="majorBidi" w:hAnsiTheme="majorBidi"/>
          <w:color w:val="000000"/>
          <w:sz w:val="24"/>
        </w:rPr>
        <w:t xml:space="preserve">e paper </w:t>
      </w:r>
      <w:r w:rsidRPr="00294B9C">
        <w:rPr>
          <w:rFonts w:asciiTheme="majorBidi" w:hAnsiTheme="majorBidi"/>
          <w:color w:val="000000"/>
          <w:sz w:val="24"/>
        </w:rPr>
        <w:t>is divided into five sections</w:t>
      </w:r>
      <w:r w:rsidR="006E1FD0">
        <w:rPr>
          <w:rFonts w:asciiTheme="majorBidi" w:hAnsiTheme="majorBidi" w:cstheme="majorBidi"/>
          <w:color w:val="000000"/>
          <w:sz w:val="24"/>
          <w:szCs w:val="24"/>
        </w:rPr>
        <w:t>,</w:t>
      </w:r>
      <w:r w:rsidRPr="004C731D">
        <w:rPr>
          <w:rFonts w:asciiTheme="majorBidi" w:hAnsiTheme="majorBidi"/>
          <w:color w:val="000000"/>
          <w:sz w:val="24"/>
        </w:rPr>
        <w:t xml:space="preserve"> including this introduction. The second section analyzes the </w:t>
      </w:r>
      <w:r w:rsidR="00FE3239" w:rsidRPr="004C731D">
        <w:rPr>
          <w:rFonts w:asciiTheme="majorBidi" w:hAnsiTheme="majorBidi"/>
          <w:color w:val="000000"/>
          <w:sz w:val="24"/>
        </w:rPr>
        <w:t>stylized facts</w:t>
      </w:r>
      <w:r w:rsidR="00FE3239" w:rsidRPr="0016142F">
        <w:rPr>
          <w:rFonts w:asciiTheme="majorBidi" w:hAnsiTheme="majorBidi"/>
          <w:color w:val="000000"/>
          <w:sz w:val="24"/>
        </w:rPr>
        <w:t xml:space="preserve"> o</w:t>
      </w:r>
      <w:r w:rsidRPr="0016142F">
        <w:rPr>
          <w:rFonts w:asciiTheme="majorBidi" w:hAnsiTheme="majorBidi"/>
          <w:color w:val="000000"/>
          <w:sz w:val="24"/>
        </w:rPr>
        <w:t>f the C</w:t>
      </w:r>
      <w:r w:rsidR="00FE3239" w:rsidRPr="0016142F">
        <w:rPr>
          <w:rFonts w:asciiTheme="majorBidi" w:hAnsiTheme="majorBidi"/>
          <w:color w:val="000000"/>
          <w:sz w:val="24"/>
        </w:rPr>
        <w:t>OVID</w:t>
      </w:r>
      <w:r w:rsidRPr="0016142F">
        <w:rPr>
          <w:rFonts w:asciiTheme="majorBidi" w:hAnsiTheme="majorBidi"/>
          <w:color w:val="000000"/>
          <w:sz w:val="24"/>
        </w:rPr>
        <w:t xml:space="preserve">-19 crisis on the Mexican </w:t>
      </w:r>
      <w:r w:rsidR="00FE3239" w:rsidRPr="008E7169">
        <w:rPr>
          <w:rFonts w:asciiTheme="majorBidi" w:hAnsiTheme="majorBidi"/>
          <w:color w:val="000000"/>
          <w:sz w:val="24"/>
        </w:rPr>
        <w:t xml:space="preserve">macroeconomic </w:t>
      </w:r>
      <w:r w:rsidRPr="00BE052D">
        <w:rPr>
          <w:rFonts w:asciiTheme="majorBidi" w:hAnsiTheme="majorBidi"/>
          <w:color w:val="000000"/>
          <w:sz w:val="24"/>
        </w:rPr>
        <w:t>context and</w:t>
      </w:r>
      <w:r w:rsidR="00FE3239" w:rsidRPr="00BE052D">
        <w:rPr>
          <w:rFonts w:asciiTheme="majorBidi" w:hAnsiTheme="majorBidi"/>
          <w:color w:val="000000"/>
          <w:sz w:val="24"/>
        </w:rPr>
        <w:t xml:space="preserve"> its implications on</w:t>
      </w:r>
      <w:r w:rsidRPr="00BE052D">
        <w:rPr>
          <w:rFonts w:asciiTheme="majorBidi" w:hAnsiTheme="majorBidi"/>
          <w:color w:val="000000"/>
          <w:sz w:val="24"/>
        </w:rPr>
        <w:t xml:space="preserve"> employment. The third section presents the </w:t>
      </w:r>
      <w:r w:rsidR="00FE3239" w:rsidRPr="00BE052D">
        <w:rPr>
          <w:rFonts w:asciiTheme="majorBidi" w:hAnsiTheme="majorBidi"/>
          <w:color w:val="000000"/>
          <w:sz w:val="24"/>
        </w:rPr>
        <w:t xml:space="preserve">selected </w:t>
      </w:r>
      <w:r w:rsidRPr="00BE052D">
        <w:rPr>
          <w:rFonts w:asciiTheme="majorBidi" w:hAnsiTheme="majorBidi"/>
          <w:color w:val="000000"/>
          <w:sz w:val="24"/>
        </w:rPr>
        <w:t>methodology</w:t>
      </w:r>
      <w:r w:rsidR="00FE3239" w:rsidRPr="00BE052D">
        <w:rPr>
          <w:rFonts w:asciiTheme="majorBidi" w:hAnsiTheme="majorBidi"/>
          <w:color w:val="000000"/>
          <w:sz w:val="24"/>
        </w:rPr>
        <w:t xml:space="preserve"> to study employment dynamics by gender and by employment formality;</w:t>
      </w:r>
      <w:r w:rsidRPr="00AA1CA4">
        <w:rPr>
          <w:rFonts w:asciiTheme="majorBidi" w:hAnsiTheme="majorBidi"/>
          <w:color w:val="000000"/>
          <w:sz w:val="24"/>
        </w:rPr>
        <w:t xml:space="preserve"> </w:t>
      </w:r>
      <w:r w:rsidR="00FE3239" w:rsidRPr="00AA1CA4">
        <w:rPr>
          <w:rFonts w:asciiTheme="majorBidi" w:hAnsiTheme="majorBidi"/>
          <w:color w:val="000000"/>
          <w:sz w:val="24"/>
        </w:rPr>
        <w:t xml:space="preserve">this section introduces </w:t>
      </w:r>
      <w:r w:rsidRPr="00AA1CA4">
        <w:rPr>
          <w:rFonts w:asciiTheme="majorBidi" w:hAnsiTheme="majorBidi"/>
          <w:color w:val="000000"/>
          <w:sz w:val="24"/>
        </w:rPr>
        <w:t xml:space="preserve">the </w:t>
      </w:r>
      <w:r w:rsidR="00FE3239" w:rsidRPr="00AA1CA4">
        <w:rPr>
          <w:rFonts w:asciiTheme="majorBidi" w:hAnsiTheme="majorBidi"/>
          <w:color w:val="000000"/>
          <w:sz w:val="24"/>
        </w:rPr>
        <w:t xml:space="preserve">econometric </w:t>
      </w:r>
      <w:r w:rsidRPr="00AA1CA4">
        <w:rPr>
          <w:rFonts w:asciiTheme="majorBidi" w:hAnsiTheme="majorBidi"/>
          <w:color w:val="000000"/>
          <w:sz w:val="24"/>
        </w:rPr>
        <w:t xml:space="preserve">framework, </w:t>
      </w:r>
      <w:r w:rsidRPr="004C731D">
        <w:rPr>
          <w:rFonts w:asciiTheme="majorBidi" w:hAnsiTheme="majorBidi"/>
          <w:color w:val="000000"/>
          <w:sz w:val="24"/>
        </w:rPr>
        <w:t>data</w:t>
      </w:r>
      <w:r w:rsidR="00996544" w:rsidRPr="004C731D">
        <w:rPr>
          <w:rFonts w:asciiTheme="majorBidi" w:hAnsiTheme="majorBidi"/>
          <w:color w:val="000000"/>
          <w:sz w:val="24"/>
        </w:rPr>
        <w:t>,</w:t>
      </w:r>
      <w:r w:rsidRPr="0016142F">
        <w:rPr>
          <w:rFonts w:asciiTheme="majorBidi" w:hAnsiTheme="majorBidi"/>
          <w:color w:val="000000"/>
          <w:sz w:val="24"/>
        </w:rPr>
        <w:t xml:space="preserve"> and </w:t>
      </w:r>
      <w:r w:rsidRPr="004C731D">
        <w:rPr>
          <w:rFonts w:asciiTheme="majorBidi" w:hAnsiTheme="majorBidi"/>
          <w:color w:val="000000"/>
          <w:sz w:val="24"/>
        </w:rPr>
        <w:t xml:space="preserve">empirical </w:t>
      </w:r>
      <w:r w:rsidR="00FE3239" w:rsidRPr="004C731D">
        <w:rPr>
          <w:rFonts w:asciiTheme="majorBidi" w:hAnsiTheme="majorBidi"/>
          <w:color w:val="000000"/>
          <w:sz w:val="24"/>
        </w:rPr>
        <w:t>strateg</w:t>
      </w:r>
      <w:r w:rsidRPr="0016142F">
        <w:rPr>
          <w:rFonts w:asciiTheme="majorBidi" w:hAnsiTheme="majorBidi"/>
          <w:color w:val="000000"/>
          <w:sz w:val="24"/>
        </w:rPr>
        <w:t>y</w:t>
      </w:r>
      <w:r w:rsidR="00FE3239" w:rsidRPr="0016142F">
        <w:rPr>
          <w:rFonts w:asciiTheme="majorBidi" w:hAnsiTheme="majorBidi"/>
          <w:color w:val="000000"/>
          <w:sz w:val="24"/>
        </w:rPr>
        <w:t xml:space="preserve"> we </w:t>
      </w:r>
      <w:r w:rsidR="00FE3239">
        <w:rPr>
          <w:rFonts w:asciiTheme="majorBidi" w:hAnsiTheme="majorBidi" w:cstheme="majorBidi"/>
          <w:color w:val="000000"/>
          <w:sz w:val="24"/>
          <w:szCs w:val="24"/>
        </w:rPr>
        <w:t>follow</w:t>
      </w:r>
      <w:r w:rsidR="006E1FD0">
        <w:rPr>
          <w:rFonts w:asciiTheme="majorBidi" w:hAnsiTheme="majorBidi" w:cstheme="majorBidi"/>
          <w:color w:val="000000"/>
          <w:sz w:val="24"/>
          <w:szCs w:val="24"/>
        </w:rPr>
        <w:t>ed</w:t>
      </w:r>
      <w:r w:rsidR="00FE3239" w:rsidRPr="004C731D">
        <w:rPr>
          <w:rFonts w:asciiTheme="majorBidi" w:hAnsiTheme="majorBidi"/>
          <w:color w:val="000000"/>
          <w:sz w:val="24"/>
        </w:rPr>
        <w:t xml:space="preserve"> to address our main questions</w:t>
      </w:r>
      <w:r w:rsidRPr="004C731D">
        <w:rPr>
          <w:rFonts w:asciiTheme="majorBidi" w:hAnsiTheme="majorBidi"/>
          <w:color w:val="000000"/>
          <w:sz w:val="24"/>
        </w:rPr>
        <w:t>. The fourth section presents the results obtained from the analysis.</w:t>
      </w:r>
      <w:r w:rsidR="00D36E3A" w:rsidRPr="00BE052D">
        <w:rPr>
          <w:rFonts w:asciiTheme="majorBidi" w:hAnsiTheme="majorBidi"/>
          <w:color w:val="000000"/>
          <w:sz w:val="24"/>
        </w:rPr>
        <w:t xml:space="preserve"> T</w:t>
      </w:r>
      <w:r w:rsidRPr="00BE052D">
        <w:rPr>
          <w:rFonts w:asciiTheme="majorBidi" w:hAnsiTheme="majorBidi"/>
          <w:color w:val="000000"/>
          <w:sz w:val="24"/>
        </w:rPr>
        <w:t xml:space="preserve">he fifth section </w:t>
      </w:r>
      <w:r w:rsidR="00D36E3A" w:rsidRPr="00BE052D">
        <w:rPr>
          <w:rFonts w:asciiTheme="majorBidi" w:hAnsiTheme="majorBidi"/>
          <w:color w:val="000000"/>
          <w:sz w:val="24"/>
        </w:rPr>
        <w:t xml:space="preserve">concludes </w:t>
      </w:r>
      <w:r w:rsidRPr="00BE052D">
        <w:rPr>
          <w:rFonts w:asciiTheme="majorBidi" w:hAnsiTheme="majorBidi"/>
          <w:color w:val="000000"/>
          <w:sz w:val="24"/>
        </w:rPr>
        <w:t>the study</w:t>
      </w:r>
      <w:r w:rsidR="00D36E3A" w:rsidRPr="00BE052D">
        <w:rPr>
          <w:rFonts w:asciiTheme="majorBidi" w:hAnsiTheme="majorBidi"/>
          <w:color w:val="000000"/>
          <w:sz w:val="24"/>
        </w:rPr>
        <w:t xml:space="preserve"> and presents the implications of the results</w:t>
      </w:r>
      <w:r w:rsidRPr="00AA1CA4">
        <w:rPr>
          <w:rFonts w:asciiTheme="majorBidi" w:hAnsiTheme="majorBidi"/>
          <w:color w:val="000000"/>
          <w:sz w:val="24"/>
        </w:rPr>
        <w:t>.</w:t>
      </w:r>
    </w:p>
    <w:p w14:paraId="5C320CB8" w14:textId="77777777" w:rsidR="00DC6EDA" w:rsidRPr="00AA1CA4" w:rsidRDefault="00DC6EDA" w:rsidP="00DC6EDA">
      <w:pPr>
        <w:spacing w:after="0" w:line="240" w:lineRule="auto"/>
        <w:ind w:left="360"/>
        <w:jc w:val="both"/>
        <w:rPr>
          <w:rFonts w:asciiTheme="majorBidi" w:hAnsiTheme="majorBidi"/>
          <w:color w:val="000000"/>
          <w:sz w:val="24"/>
        </w:rPr>
      </w:pPr>
    </w:p>
    <w:p w14:paraId="617D6A2F" w14:textId="77777777" w:rsidR="00996544" w:rsidRPr="00AA1CA4" w:rsidRDefault="00996544" w:rsidP="00DC6EDA">
      <w:pPr>
        <w:spacing w:after="0" w:line="240" w:lineRule="auto"/>
        <w:ind w:left="360"/>
        <w:jc w:val="both"/>
        <w:rPr>
          <w:rFonts w:asciiTheme="majorBidi" w:hAnsiTheme="majorBidi"/>
          <w:color w:val="000000"/>
          <w:sz w:val="24"/>
        </w:rPr>
      </w:pPr>
    </w:p>
    <w:p w14:paraId="624D1335" w14:textId="73F25666" w:rsidR="00D47512" w:rsidRPr="00147E97" w:rsidRDefault="00256174" w:rsidP="00DC6EDA">
      <w:pPr>
        <w:pStyle w:val="Prrafodelista"/>
        <w:numPr>
          <w:ilvl w:val="0"/>
          <w:numId w:val="1"/>
        </w:num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The impact of COVID-19 on the </w:t>
      </w:r>
      <w:r w:rsidR="00E66C5D" w:rsidRPr="00AA1CA4">
        <w:rPr>
          <w:rFonts w:asciiTheme="majorBidi" w:hAnsiTheme="majorBidi"/>
          <w:b/>
          <w:color w:val="000000"/>
          <w:sz w:val="24"/>
        </w:rPr>
        <w:t>Mexic</w:t>
      </w:r>
      <w:r w:rsidRPr="00147E97">
        <w:rPr>
          <w:rFonts w:asciiTheme="majorBidi" w:hAnsiTheme="majorBidi"/>
          <w:b/>
          <w:color w:val="000000"/>
          <w:sz w:val="24"/>
        </w:rPr>
        <w:t>an economy</w:t>
      </w:r>
      <w:r w:rsidR="00D47512" w:rsidRPr="00147E97">
        <w:rPr>
          <w:rFonts w:asciiTheme="majorBidi" w:hAnsiTheme="majorBidi"/>
          <w:b/>
          <w:color w:val="000000"/>
          <w:sz w:val="24"/>
        </w:rPr>
        <w:t xml:space="preserve">: </w:t>
      </w:r>
      <w:r w:rsidRPr="00147E97">
        <w:rPr>
          <w:rFonts w:asciiTheme="majorBidi" w:hAnsiTheme="majorBidi"/>
          <w:b/>
          <w:color w:val="000000"/>
          <w:sz w:val="24"/>
        </w:rPr>
        <w:t>stylized facts</w:t>
      </w:r>
    </w:p>
    <w:p w14:paraId="62FBDB2B" w14:textId="77777777" w:rsidR="00DC6EDA" w:rsidRPr="00294B9C" w:rsidRDefault="00DC6EDA" w:rsidP="00DC6EDA">
      <w:pPr>
        <w:pStyle w:val="Prrafodelista"/>
        <w:spacing w:after="0" w:line="240" w:lineRule="auto"/>
        <w:ind w:left="760"/>
        <w:jc w:val="both"/>
        <w:rPr>
          <w:rFonts w:asciiTheme="majorBidi" w:hAnsiTheme="majorBidi"/>
          <w:b/>
          <w:color w:val="000000"/>
          <w:sz w:val="24"/>
        </w:rPr>
      </w:pPr>
    </w:p>
    <w:p w14:paraId="59F07FE3" w14:textId="49469E3C" w:rsidR="00DC6EDA" w:rsidRPr="00294B9C" w:rsidRDefault="00256174" w:rsidP="00DC6EDA">
      <w:pPr>
        <w:pStyle w:val="Prrafodelista"/>
        <w:numPr>
          <w:ilvl w:val="1"/>
          <w:numId w:val="1"/>
        </w:numPr>
        <w:spacing w:after="0" w:line="240" w:lineRule="auto"/>
        <w:jc w:val="both"/>
        <w:rPr>
          <w:rFonts w:asciiTheme="majorBidi" w:hAnsiTheme="majorBidi"/>
          <w:b/>
          <w:color w:val="000000"/>
          <w:sz w:val="24"/>
        </w:rPr>
      </w:pPr>
      <w:r w:rsidRPr="00294B9C">
        <w:rPr>
          <w:rFonts w:asciiTheme="majorBidi" w:hAnsiTheme="majorBidi"/>
          <w:b/>
          <w:color w:val="000000"/>
          <w:sz w:val="24"/>
        </w:rPr>
        <w:t>T</w:t>
      </w:r>
      <w:r w:rsidR="00DC6EDA" w:rsidRPr="00294B9C">
        <w:rPr>
          <w:rFonts w:asciiTheme="majorBidi" w:hAnsiTheme="majorBidi"/>
          <w:b/>
          <w:color w:val="000000"/>
          <w:sz w:val="24"/>
        </w:rPr>
        <w:t>axonomy of</w:t>
      </w:r>
      <w:r w:rsidRPr="00294B9C">
        <w:rPr>
          <w:rFonts w:asciiTheme="majorBidi" w:hAnsiTheme="majorBidi"/>
          <w:b/>
          <w:color w:val="000000"/>
          <w:sz w:val="24"/>
        </w:rPr>
        <w:t xml:space="preserve"> economic</w:t>
      </w:r>
      <w:r w:rsidR="00DC6EDA" w:rsidRPr="00294B9C">
        <w:rPr>
          <w:rFonts w:asciiTheme="majorBidi" w:hAnsiTheme="majorBidi"/>
          <w:b/>
          <w:color w:val="000000"/>
          <w:sz w:val="24"/>
        </w:rPr>
        <w:t xml:space="preserve"> </w:t>
      </w:r>
      <w:r w:rsidR="00317BF0">
        <w:rPr>
          <w:rFonts w:asciiTheme="majorBidi" w:hAnsiTheme="majorBidi"/>
          <w:b/>
          <w:color w:val="000000"/>
          <w:sz w:val="24"/>
        </w:rPr>
        <w:t>"</w:t>
      </w:r>
      <w:r w:rsidR="00DC6EDA" w:rsidRPr="00294B9C">
        <w:rPr>
          <w:rFonts w:asciiTheme="majorBidi" w:hAnsiTheme="majorBidi"/>
          <w:b/>
          <w:color w:val="000000"/>
          <w:sz w:val="24"/>
        </w:rPr>
        <w:t>shocks</w:t>
      </w:r>
      <w:r w:rsidR="00DA19CF">
        <w:rPr>
          <w:rFonts w:asciiTheme="majorBidi" w:hAnsiTheme="majorBidi"/>
          <w:b/>
          <w:color w:val="000000"/>
          <w:sz w:val="24"/>
        </w:rPr>
        <w:t>.</w:t>
      </w:r>
      <w:r w:rsidR="00317BF0">
        <w:rPr>
          <w:rFonts w:asciiTheme="majorBidi" w:hAnsiTheme="majorBidi"/>
          <w:b/>
          <w:color w:val="000000"/>
          <w:sz w:val="24"/>
        </w:rPr>
        <w:t>"</w:t>
      </w:r>
      <w:r w:rsidR="00DC6EDA" w:rsidRPr="00294B9C">
        <w:rPr>
          <w:rFonts w:asciiTheme="majorBidi" w:hAnsiTheme="majorBidi"/>
          <w:b/>
          <w:color w:val="000000"/>
          <w:sz w:val="24"/>
        </w:rPr>
        <w:t xml:space="preserve"> </w:t>
      </w:r>
    </w:p>
    <w:p w14:paraId="4225A9D2" w14:textId="77777777" w:rsidR="00DC6EDA" w:rsidRPr="00294B9C" w:rsidRDefault="00DC6EDA" w:rsidP="00DC6EDA">
      <w:pPr>
        <w:spacing w:after="0" w:line="240" w:lineRule="auto"/>
        <w:ind w:left="360"/>
        <w:jc w:val="both"/>
        <w:rPr>
          <w:rFonts w:asciiTheme="majorBidi" w:hAnsiTheme="majorBidi"/>
          <w:color w:val="000000"/>
          <w:sz w:val="24"/>
        </w:rPr>
      </w:pPr>
    </w:p>
    <w:p w14:paraId="7F14CA9E" w14:textId="3D7263C0" w:rsidR="00D47512" w:rsidRPr="00BE052D" w:rsidRDefault="00D47512" w:rsidP="00E25433">
      <w:pPr>
        <w:spacing w:after="0" w:line="240" w:lineRule="auto"/>
        <w:ind w:left="360"/>
        <w:jc w:val="both"/>
        <w:rPr>
          <w:rFonts w:asciiTheme="majorBidi" w:hAnsiTheme="majorBidi"/>
          <w:color w:val="000000"/>
          <w:sz w:val="24"/>
        </w:rPr>
      </w:pPr>
      <w:r w:rsidRPr="00294B9C">
        <w:rPr>
          <w:rFonts w:asciiTheme="majorBidi" w:hAnsiTheme="majorBidi"/>
          <w:color w:val="000000"/>
          <w:sz w:val="24"/>
        </w:rPr>
        <w:t>The</w:t>
      </w:r>
      <w:r w:rsidR="0042145D" w:rsidRPr="00294B9C">
        <w:rPr>
          <w:rFonts w:asciiTheme="majorBidi" w:hAnsiTheme="majorBidi"/>
          <w:color w:val="000000"/>
          <w:sz w:val="24"/>
        </w:rPr>
        <w:t xml:space="preserve"> recurrent new waves of outbreaks worldwide </w:t>
      </w:r>
      <w:r w:rsidR="00E86912" w:rsidRPr="00294B9C">
        <w:rPr>
          <w:rFonts w:asciiTheme="majorBidi" w:hAnsiTheme="majorBidi"/>
          <w:color w:val="000000"/>
          <w:sz w:val="24"/>
        </w:rPr>
        <w:t xml:space="preserve">over 2021 </w:t>
      </w:r>
      <w:r w:rsidR="0042145D" w:rsidRPr="00294B9C">
        <w:rPr>
          <w:rFonts w:asciiTheme="majorBidi" w:hAnsiTheme="majorBidi"/>
          <w:color w:val="000000"/>
          <w:sz w:val="24"/>
        </w:rPr>
        <w:t>confirm that</w:t>
      </w:r>
      <w:r w:rsidRPr="00294B9C">
        <w:rPr>
          <w:rFonts w:asciiTheme="majorBidi" w:hAnsiTheme="majorBidi"/>
          <w:color w:val="000000"/>
          <w:sz w:val="24"/>
        </w:rPr>
        <w:t xml:space="preserve"> </w:t>
      </w:r>
      <w:r w:rsidR="0042145D" w:rsidRPr="00294B9C">
        <w:rPr>
          <w:rFonts w:asciiTheme="majorBidi" w:hAnsiTheme="majorBidi"/>
          <w:color w:val="000000"/>
          <w:sz w:val="24"/>
        </w:rPr>
        <w:t xml:space="preserve">the </w:t>
      </w:r>
      <w:r w:rsidR="00996544" w:rsidRPr="00294B9C">
        <w:rPr>
          <w:rFonts w:asciiTheme="majorBidi" w:hAnsiTheme="majorBidi"/>
          <w:color w:val="000000"/>
          <w:sz w:val="24"/>
        </w:rPr>
        <w:t>COVID</w:t>
      </w:r>
      <w:r w:rsidRPr="00294B9C">
        <w:rPr>
          <w:rFonts w:asciiTheme="majorBidi" w:hAnsiTheme="majorBidi"/>
          <w:color w:val="000000"/>
          <w:sz w:val="24"/>
        </w:rPr>
        <w:t xml:space="preserve">-19 </w:t>
      </w:r>
      <w:r w:rsidR="00E66C5D" w:rsidRPr="00294B9C">
        <w:rPr>
          <w:rFonts w:asciiTheme="majorBidi" w:hAnsiTheme="majorBidi"/>
          <w:color w:val="000000"/>
          <w:sz w:val="24"/>
        </w:rPr>
        <w:t xml:space="preserve">economic </w:t>
      </w:r>
      <w:r w:rsidRPr="00294B9C">
        <w:rPr>
          <w:rFonts w:asciiTheme="majorBidi" w:hAnsiTheme="majorBidi"/>
          <w:color w:val="000000"/>
          <w:sz w:val="24"/>
        </w:rPr>
        <w:t xml:space="preserve">crisis will </w:t>
      </w:r>
      <w:r w:rsidR="00DA19CF">
        <w:rPr>
          <w:rFonts w:asciiTheme="majorBidi" w:hAnsiTheme="majorBidi"/>
          <w:color w:val="000000"/>
          <w:sz w:val="24"/>
        </w:rPr>
        <w:t>have not only</w:t>
      </w:r>
      <w:r w:rsidRPr="00294B9C">
        <w:rPr>
          <w:rFonts w:asciiTheme="majorBidi" w:hAnsiTheme="majorBidi"/>
          <w:color w:val="000000"/>
          <w:sz w:val="24"/>
        </w:rPr>
        <w:t xml:space="preserve"> short- </w:t>
      </w:r>
      <w:r w:rsidR="00E25433">
        <w:rPr>
          <w:rFonts w:asciiTheme="majorBidi" w:hAnsiTheme="majorBidi"/>
          <w:color w:val="000000"/>
          <w:sz w:val="24"/>
        </w:rPr>
        <w:t>and</w:t>
      </w:r>
      <w:r w:rsidRPr="00294B9C">
        <w:rPr>
          <w:rFonts w:asciiTheme="majorBidi" w:hAnsiTheme="majorBidi"/>
          <w:color w:val="000000"/>
          <w:sz w:val="24"/>
        </w:rPr>
        <w:t xml:space="preserve"> long</w:t>
      </w:r>
      <w:r w:rsidR="00F00A3B">
        <w:rPr>
          <w:rFonts w:asciiTheme="majorBidi" w:hAnsiTheme="majorBidi" w:cstheme="majorBidi"/>
          <w:color w:val="000000"/>
          <w:sz w:val="24"/>
          <w:szCs w:val="24"/>
        </w:rPr>
        <w:t>-</w:t>
      </w:r>
      <w:r w:rsidRPr="004C731D">
        <w:rPr>
          <w:rFonts w:asciiTheme="majorBidi" w:hAnsiTheme="majorBidi"/>
          <w:color w:val="000000"/>
          <w:sz w:val="24"/>
        </w:rPr>
        <w:t>term</w:t>
      </w:r>
      <w:r w:rsidR="00F00A3B" w:rsidRPr="004C731D">
        <w:rPr>
          <w:rFonts w:asciiTheme="majorBidi" w:hAnsiTheme="majorBidi"/>
          <w:color w:val="000000"/>
          <w:sz w:val="24"/>
        </w:rPr>
        <w:t xml:space="preserve"> </w:t>
      </w:r>
      <w:r w:rsidR="00F00A3B" w:rsidRPr="0016142F">
        <w:rPr>
          <w:rFonts w:asciiTheme="majorBidi" w:hAnsiTheme="majorBidi"/>
          <w:color w:val="000000"/>
          <w:sz w:val="24"/>
        </w:rPr>
        <w:t>effects</w:t>
      </w:r>
      <w:r w:rsidRPr="004C731D">
        <w:rPr>
          <w:rFonts w:asciiTheme="majorBidi" w:hAnsiTheme="majorBidi"/>
          <w:color w:val="000000"/>
          <w:sz w:val="24"/>
        </w:rPr>
        <w:t xml:space="preserve"> </w:t>
      </w:r>
      <w:r w:rsidR="00E25433" w:rsidRPr="004C731D">
        <w:rPr>
          <w:rFonts w:asciiTheme="majorBidi" w:hAnsiTheme="majorBidi"/>
          <w:color w:val="000000"/>
          <w:sz w:val="24"/>
        </w:rPr>
        <w:t>but</w:t>
      </w:r>
      <w:r w:rsidR="00E25433" w:rsidRPr="0016142F">
        <w:rPr>
          <w:rFonts w:asciiTheme="majorBidi" w:hAnsiTheme="majorBidi"/>
          <w:color w:val="000000"/>
          <w:sz w:val="24"/>
        </w:rPr>
        <w:t xml:space="preserve"> </w:t>
      </w:r>
      <w:r w:rsidR="00E25433">
        <w:rPr>
          <w:rFonts w:asciiTheme="majorBidi" w:hAnsiTheme="majorBidi"/>
          <w:color w:val="000000"/>
          <w:sz w:val="24"/>
        </w:rPr>
        <w:t>also</w:t>
      </w:r>
      <w:r w:rsidR="00E25433" w:rsidRPr="004C731D">
        <w:rPr>
          <w:rFonts w:asciiTheme="majorBidi" w:hAnsiTheme="majorBidi"/>
          <w:color w:val="000000"/>
          <w:sz w:val="24"/>
        </w:rPr>
        <w:t xml:space="preserve"> </w:t>
      </w:r>
      <w:r w:rsidRPr="004C731D">
        <w:rPr>
          <w:rFonts w:asciiTheme="majorBidi" w:hAnsiTheme="majorBidi"/>
          <w:color w:val="000000"/>
          <w:sz w:val="24"/>
        </w:rPr>
        <w:t>se</w:t>
      </w:r>
      <w:r w:rsidR="00AE79C6">
        <w:rPr>
          <w:rFonts w:asciiTheme="majorBidi" w:hAnsiTheme="majorBidi"/>
          <w:color w:val="000000"/>
          <w:sz w:val="24"/>
        </w:rPr>
        <w:t>vere</w:t>
      </w:r>
      <w:r w:rsidRPr="004C731D">
        <w:rPr>
          <w:rFonts w:asciiTheme="majorBidi" w:hAnsiTheme="majorBidi"/>
          <w:color w:val="000000"/>
          <w:sz w:val="24"/>
        </w:rPr>
        <w:t xml:space="preserve"> economic repercussions worldwide.</w:t>
      </w:r>
    </w:p>
    <w:p w14:paraId="296F4745" w14:textId="77777777" w:rsidR="00EE5973" w:rsidRPr="00BE052D" w:rsidRDefault="00EE5973" w:rsidP="00DC6EDA">
      <w:pPr>
        <w:spacing w:after="0" w:line="240" w:lineRule="auto"/>
        <w:ind w:left="360"/>
        <w:jc w:val="both"/>
        <w:rPr>
          <w:rFonts w:asciiTheme="majorBidi" w:hAnsiTheme="majorBidi"/>
          <w:color w:val="000000"/>
          <w:sz w:val="24"/>
        </w:rPr>
      </w:pPr>
    </w:p>
    <w:p w14:paraId="1E023CDB" w14:textId="41AC9748" w:rsidR="00D47512" w:rsidRPr="00BE052D" w:rsidRDefault="00D47512" w:rsidP="006806EB">
      <w:pPr>
        <w:spacing w:after="0" w:line="240" w:lineRule="auto"/>
        <w:ind w:left="360"/>
        <w:jc w:val="both"/>
        <w:rPr>
          <w:rFonts w:asciiTheme="majorBidi" w:hAnsiTheme="majorBidi"/>
          <w:color w:val="000000"/>
          <w:sz w:val="24"/>
        </w:rPr>
      </w:pPr>
      <w:r w:rsidRPr="00AA1CA4">
        <w:rPr>
          <w:rFonts w:asciiTheme="majorBidi" w:hAnsiTheme="majorBidi"/>
          <w:color w:val="000000"/>
          <w:sz w:val="24"/>
        </w:rPr>
        <w:t>According to the International Monetary Fund (2020)</w:t>
      </w:r>
      <w:r w:rsidR="00E66C5D" w:rsidRPr="00AA1CA4">
        <w:rPr>
          <w:rFonts w:asciiTheme="majorBidi" w:hAnsiTheme="majorBidi"/>
          <w:color w:val="000000"/>
          <w:sz w:val="24"/>
        </w:rPr>
        <w:t>,</w:t>
      </w:r>
      <w:r w:rsidRPr="00AA1CA4">
        <w:rPr>
          <w:rFonts w:asciiTheme="majorBidi" w:hAnsiTheme="majorBidi"/>
          <w:color w:val="000000"/>
          <w:sz w:val="24"/>
        </w:rPr>
        <w:t xml:space="preserve"> the projections are unfavorable for the economy</w:t>
      </w:r>
      <w:r w:rsidR="00AC75A2">
        <w:rPr>
          <w:rFonts w:asciiTheme="majorBidi" w:hAnsiTheme="majorBidi"/>
          <w:color w:val="000000"/>
          <w:sz w:val="24"/>
        </w:rPr>
        <w:t>,</w:t>
      </w:r>
      <w:r w:rsidRPr="004C731D">
        <w:rPr>
          <w:rFonts w:asciiTheme="majorBidi" w:hAnsiTheme="majorBidi"/>
          <w:color w:val="000000"/>
          <w:sz w:val="24"/>
        </w:rPr>
        <w:t xml:space="preserve"> with a fall of -3% in 2020</w:t>
      </w:r>
      <w:r w:rsidR="009D43C7" w:rsidRPr="004C731D">
        <w:rPr>
          <w:rFonts w:asciiTheme="majorBidi" w:hAnsiTheme="majorBidi"/>
          <w:color w:val="000000"/>
          <w:sz w:val="24"/>
        </w:rPr>
        <w:t>,</w:t>
      </w:r>
      <w:r w:rsidRPr="0016142F">
        <w:rPr>
          <w:rFonts w:asciiTheme="majorBidi" w:hAnsiTheme="majorBidi"/>
          <w:color w:val="000000"/>
          <w:sz w:val="24"/>
        </w:rPr>
        <w:t xml:space="preserve"> and </w:t>
      </w:r>
      <w:r w:rsidR="00EE5749" w:rsidRPr="0016142F">
        <w:rPr>
          <w:rFonts w:asciiTheme="majorBidi" w:hAnsiTheme="majorBidi"/>
          <w:color w:val="000000"/>
          <w:sz w:val="24"/>
        </w:rPr>
        <w:t>if</w:t>
      </w:r>
      <w:r w:rsidRPr="0016142F">
        <w:rPr>
          <w:rFonts w:asciiTheme="majorBidi" w:hAnsiTheme="majorBidi"/>
          <w:color w:val="000000"/>
          <w:sz w:val="24"/>
        </w:rPr>
        <w:t xml:space="preserve"> the pandemic ceases</w:t>
      </w:r>
      <w:r w:rsidR="00AC75A2">
        <w:rPr>
          <w:rFonts w:asciiTheme="majorBidi" w:hAnsiTheme="majorBidi"/>
          <w:color w:val="000000"/>
          <w:sz w:val="24"/>
        </w:rPr>
        <w:t>,</w:t>
      </w:r>
      <w:r w:rsidRPr="00294B9C">
        <w:rPr>
          <w:rFonts w:asciiTheme="majorBidi" w:hAnsiTheme="majorBidi"/>
          <w:color w:val="000000"/>
          <w:sz w:val="24"/>
        </w:rPr>
        <w:t xml:space="preserve"> </w:t>
      </w:r>
      <w:r w:rsidR="00AC75A2">
        <w:rPr>
          <w:rFonts w:asciiTheme="majorBidi" w:hAnsiTheme="majorBidi"/>
          <w:color w:val="000000"/>
          <w:sz w:val="24"/>
        </w:rPr>
        <w:t>a</w:t>
      </w:r>
      <w:r w:rsidR="00AC75A2" w:rsidRPr="004C731D">
        <w:rPr>
          <w:rFonts w:asciiTheme="majorBidi" w:hAnsiTheme="majorBidi"/>
          <w:color w:val="000000"/>
          <w:sz w:val="24"/>
        </w:rPr>
        <w:t xml:space="preserve"> </w:t>
      </w:r>
      <w:r w:rsidRPr="004C731D">
        <w:rPr>
          <w:rFonts w:asciiTheme="majorBidi" w:hAnsiTheme="majorBidi"/>
          <w:color w:val="000000"/>
          <w:sz w:val="24"/>
        </w:rPr>
        <w:t xml:space="preserve">global economic recovery </w:t>
      </w:r>
      <w:r w:rsidRPr="0016142F">
        <w:rPr>
          <w:rFonts w:asciiTheme="majorBidi" w:hAnsiTheme="majorBidi"/>
          <w:color w:val="000000"/>
          <w:sz w:val="24"/>
        </w:rPr>
        <w:t>could</w:t>
      </w:r>
      <w:r w:rsidRPr="004C731D">
        <w:rPr>
          <w:rFonts w:asciiTheme="majorBidi" w:hAnsiTheme="majorBidi"/>
          <w:color w:val="000000"/>
          <w:sz w:val="24"/>
        </w:rPr>
        <w:t xml:space="preserve"> be observed in the middle of the year 2021, with a growth projection of 5.8%.</w:t>
      </w:r>
    </w:p>
    <w:p w14:paraId="0055D82F" w14:textId="77777777" w:rsidR="00EE5973" w:rsidRPr="00BE052D" w:rsidRDefault="00EE5973" w:rsidP="00DC6EDA">
      <w:pPr>
        <w:spacing w:after="0" w:line="240" w:lineRule="auto"/>
        <w:ind w:left="360"/>
        <w:jc w:val="both"/>
        <w:rPr>
          <w:rFonts w:asciiTheme="majorBidi" w:hAnsiTheme="majorBidi"/>
          <w:color w:val="000000"/>
          <w:sz w:val="24"/>
        </w:rPr>
      </w:pPr>
    </w:p>
    <w:p w14:paraId="1FFFEF8B" w14:textId="6869855A" w:rsidR="00D47512" w:rsidRPr="00BE052D" w:rsidRDefault="00D47512" w:rsidP="006806EB">
      <w:pPr>
        <w:spacing w:after="0" w:line="240" w:lineRule="auto"/>
        <w:ind w:left="360"/>
        <w:jc w:val="both"/>
        <w:rPr>
          <w:rFonts w:asciiTheme="majorBidi" w:hAnsiTheme="majorBidi"/>
          <w:color w:val="000000"/>
          <w:sz w:val="24"/>
        </w:rPr>
      </w:pPr>
      <w:r w:rsidRPr="00AA1CA4">
        <w:rPr>
          <w:rFonts w:asciiTheme="majorBidi" w:hAnsiTheme="majorBidi"/>
          <w:color w:val="000000"/>
          <w:sz w:val="24"/>
        </w:rPr>
        <w:t>In the case of Latin America and the Caribbean, the pandemic hit precisely in a recession, resulting in a negative economic impact of between 3</w:t>
      </w:r>
      <w:r w:rsidRPr="004C731D">
        <w:rPr>
          <w:rFonts w:asciiTheme="majorBidi" w:hAnsiTheme="majorBidi"/>
          <w:color w:val="000000"/>
          <w:sz w:val="24"/>
        </w:rPr>
        <w:t xml:space="preserve"> and 4% (ECLAC, 2020). Given that Mexico is one of the </w:t>
      </w:r>
      <w:r w:rsidR="00AE79C6">
        <w:rPr>
          <w:rFonts w:asciiTheme="majorBidi" w:hAnsiTheme="majorBidi"/>
          <w:color w:val="000000"/>
          <w:sz w:val="24"/>
        </w:rPr>
        <w:t>leading</w:t>
      </w:r>
      <w:r w:rsidRPr="004C731D">
        <w:rPr>
          <w:rFonts w:asciiTheme="majorBidi" w:hAnsiTheme="majorBidi"/>
          <w:color w:val="000000"/>
          <w:sz w:val="24"/>
        </w:rPr>
        <w:t xml:space="preserve"> economies in Latin America, its projections are within these same ranges</w:t>
      </w:r>
      <w:r w:rsidR="00A4297F">
        <w:rPr>
          <w:rFonts w:asciiTheme="majorBidi" w:hAnsiTheme="majorBidi"/>
          <w:color w:val="000000"/>
          <w:sz w:val="24"/>
        </w:rPr>
        <w:t>,</w:t>
      </w:r>
      <w:r w:rsidRPr="004C731D">
        <w:rPr>
          <w:rFonts w:asciiTheme="majorBidi" w:hAnsiTheme="majorBidi"/>
          <w:color w:val="000000"/>
          <w:sz w:val="24"/>
        </w:rPr>
        <w:t xml:space="preserve"> with a growth projection between 1.4</w:t>
      </w:r>
      <w:r w:rsidR="00A4297F">
        <w:rPr>
          <w:rFonts w:asciiTheme="majorBidi" w:hAnsiTheme="majorBidi"/>
          <w:color w:val="000000"/>
          <w:sz w:val="24"/>
        </w:rPr>
        <w:t xml:space="preserve"> and </w:t>
      </w:r>
      <w:r w:rsidRPr="004C731D">
        <w:rPr>
          <w:rFonts w:asciiTheme="majorBidi" w:hAnsiTheme="majorBidi"/>
          <w:color w:val="000000"/>
          <w:sz w:val="24"/>
        </w:rPr>
        <w:t>3% in 2021 (IMF, 2020),</w:t>
      </w:r>
      <w:r w:rsidR="00C84FE1" w:rsidRPr="004C731D">
        <w:rPr>
          <w:rFonts w:asciiTheme="majorBidi" w:hAnsiTheme="majorBidi"/>
          <w:color w:val="000000"/>
          <w:sz w:val="24"/>
        </w:rPr>
        <w:t xml:space="preserve"> </w:t>
      </w:r>
      <w:r w:rsidR="00C84FE1">
        <w:rPr>
          <w:rFonts w:asciiTheme="majorBidi" w:hAnsiTheme="majorBidi" w:cstheme="majorBidi"/>
          <w:color w:val="000000"/>
          <w:sz w:val="24"/>
          <w:szCs w:val="24"/>
        </w:rPr>
        <w:t>and</w:t>
      </w:r>
      <w:r w:rsidRPr="00D47512">
        <w:rPr>
          <w:rFonts w:asciiTheme="majorBidi" w:hAnsiTheme="majorBidi" w:cstheme="majorBidi"/>
          <w:color w:val="000000"/>
          <w:sz w:val="24"/>
          <w:szCs w:val="24"/>
        </w:rPr>
        <w:t xml:space="preserve"> </w:t>
      </w:r>
      <w:r w:rsidRPr="004C731D">
        <w:rPr>
          <w:rFonts w:asciiTheme="majorBidi" w:hAnsiTheme="majorBidi"/>
          <w:color w:val="000000"/>
          <w:sz w:val="24"/>
        </w:rPr>
        <w:t>such projections depend on the political decisions taken in</w:t>
      </w:r>
      <w:r w:rsidRPr="0016142F">
        <w:rPr>
          <w:rFonts w:asciiTheme="majorBidi" w:hAnsiTheme="majorBidi"/>
          <w:color w:val="000000"/>
          <w:sz w:val="24"/>
        </w:rPr>
        <w:t xml:space="preserve"> the country</w:t>
      </w:r>
      <w:r w:rsidRPr="004C731D">
        <w:rPr>
          <w:rFonts w:asciiTheme="majorBidi" w:hAnsiTheme="majorBidi"/>
          <w:color w:val="000000"/>
          <w:sz w:val="24"/>
        </w:rPr>
        <w:t xml:space="preserve"> and the efficient control of the spread of the virus.</w:t>
      </w:r>
      <w:r w:rsidR="00EA223F" w:rsidRPr="004C731D">
        <w:rPr>
          <w:rFonts w:asciiTheme="majorBidi" w:hAnsiTheme="majorBidi"/>
          <w:color w:val="000000"/>
          <w:sz w:val="24"/>
        </w:rPr>
        <w:t xml:space="preserve"> From the ab</w:t>
      </w:r>
      <w:r w:rsidRPr="0016142F">
        <w:rPr>
          <w:rFonts w:asciiTheme="majorBidi" w:hAnsiTheme="majorBidi"/>
          <w:color w:val="000000"/>
          <w:sz w:val="24"/>
        </w:rPr>
        <w:t xml:space="preserve">ove </w:t>
      </w:r>
      <w:r w:rsidR="00CE1CBF" w:rsidRPr="0016142F">
        <w:rPr>
          <w:rFonts w:asciiTheme="majorBidi" w:hAnsiTheme="majorBidi"/>
          <w:color w:val="000000"/>
          <w:sz w:val="24"/>
        </w:rPr>
        <w:t>estimations</w:t>
      </w:r>
      <w:r w:rsidRPr="0016142F">
        <w:rPr>
          <w:rFonts w:asciiTheme="majorBidi" w:hAnsiTheme="majorBidi"/>
          <w:color w:val="000000"/>
          <w:sz w:val="24"/>
        </w:rPr>
        <w:t xml:space="preserve"> and </w:t>
      </w:r>
      <w:r w:rsidR="003D2BFC" w:rsidRPr="0016142F">
        <w:rPr>
          <w:rFonts w:asciiTheme="majorBidi" w:hAnsiTheme="majorBidi"/>
          <w:color w:val="000000"/>
          <w:sz w:val="24"/>
        </w:rPr>
        <w:t xml:space="preserve">described </w:t>
      </w:r>
      <w:r w:rsidRPr="008E7169">
        <w:rPr>
          <w:rFonts w:asciiTheme="majorBidi" w:hAnsiTheme="majorBidi"/>
          <w:color w:val="000000"/>
          <w:sz w:val="24"/>
        </w:rPr>
        <w:t>po</w:t>
      </w:r>
      <w:r w:rsidR="003D2BFC" w:rsidRPr="008E7169">
        <w:rPr>
          <w:rFonts w:asciiTheme="majorBidi" w:hAnsiTheme="majorBidi"/>
          <w:color w:val="000000"/>
          <w:sz w:val="24"/>
        </w:rPr>
        <w:t>tential</w:t>
      </w:r>
      <w:r w:rsidRPr="00C44071">
        <w:rPr>
          <w:rFonts w:asciiTheme="majorBidi" w:hAnsiTheme="majorBidi"/>
          <w:color w:val="000000"/>
          <w:sz w:val="24"/>
        </w:rPr>
        <w:t xml:space="preserve"> scenarios</w:t>
      </w:r>
      <w:r w:rsidR="003D2BFC" w:rsidRPr="00C44071">
        <w:rPr>
          <w:rFonts w:asciiTheme="majorBidi" w:hAnsiTheme="majorBidi"/>
          <w:color w:val="000000"/>
          <w:sz w:val="24"/>
        </w:rPr>
        <w:t>,</w:t>
      </w:r>
      <w:r w:rsidRPr="00C44071">
        <w:rPr>
          <w:rFonts w:asciiTheme="majorBidi" w:hAnsiTheme="majorBidi"/>
          <w:color w:val="000000"/>
          <w:sz w:val="24"/>
        </w:rPr>
        <w:t xml:space="preserve"> </w:t>
      </w:r>
      <w:r w:rsidR="00EA223F" w:rsidRPr="00C44071">
        <w:rPr>
          <w:rFonts w:asciiTheme="majorBidi" w:hAnsiTheme="majorBidi"/>
          <w:color w:val="000000"/>
          <w:sz w:val="24"/>
        </w:rPr>
        <w:t xml:space="preserve">we conclude </w:t>
      </w:r>
      <w:r w:rsidR="00C84FE1">
        <w:rPr>
          <w:rFonts w:asciiTheme="majorBidi" w:hAnsiTheme="majorBidi" w:cstheme="majorBidi"/>
          <w:color w:val="000000"/>
          <w:sz w:val="24"/>
          <w:szCs w:val="24"/>
        </w:rPr>
        <w:t xml:space="preserve">that </w:t>
      </w:r>
      <w:r w:rsidR="00EA223F" w:rsidRPr="004C731D">
        <w:rPr>
          <w:rFonts w:asciiTheme="majorBidi" w:hAnsiTheme="majorBidi"/>
          <w:color w:val="000000"/>
          <w:sz w:val="24"/>
        </w:rPr>
        <w:t xml:space="preserve">the Mexican economy effects </w:t>
      </w:r>
      <w:r w:rsidRPr="004C731D">
        <w:rPr>
          <w:rFonts w:asciiTheme="majorBidi" w:hAnsiTheme="majorBidi"/>
          <w:color w:val="000000"/>
          <w:sz w:val="24"/>
        </w:rPr>
        <w:t>m</w:t>
      </w:r>
      <w:r w:rsidR="003D2BFC" w:rsidRPr="0016142F">
        <w:rPr>
          <w:rFonts w:asciiTheme="majorBidi" w:hAnsiTheme="majorBidi"/>
          <w:color w:val="000000"/>
          <w:sz w:val="24"/>
        </w:rPr>
        <w:t>ight</w:t>
      </w:r>
      <w:r w:rsidRPr="0016142F">
        <w:rPr>
          <w:rFonts w:asciiTheme="majorBidi" w:hAnsiTheme="majorBidi"/>
          <w:color w:val="000000"/>
          <w:sz w:val="24"/>
        </w:rPr>
        <w:t xml:space="preserve"> present</w:t>
      </w:r>
      <w:r w:rsidR="003D2BFC" w:rsidRPr="0016142F">
        <w:rPr>
          <w:rFonts w:asciiTheme="majorBidi" w:hAnsiTheme="majorBidi"/>
          <w:color w:val="000000"/>
          <w:sz w:val="24"/>
        </w:rPr>
        <w:t xml:space="preserve"> </w:t>
      </w:r>
      <w:r w:rsidR="00AE79C6">
        <w:rPr>
          <w:rFonts w:asciiTheme="majorBidi" w:hAnsiTheme="majorBidi"/>
          <w:color w:val="000000"/>
          <w:sz w:val="24"/>
        </w:rPr>
        <w:t>more profound</w:t>
      </w:r>
      <w:r w:rsidR="005E5F71" w:rsidRPr="00C44071">
        <w:rPr>
          <w:rFonts w:asciiTheme="majorBidi" w:hAnsiTheme="majorBidi"/>
          <w:color w:val="000000"/>
          <w:sz w:val="24"/>
        </w:rPr>
        <w:t xml:space="preserve"> structural effects</w:t>
      </w:r>
      <w:r w:rsidR="002C1EA1">
        <w:rPr>
          <w:rFonts w:asciiTheme="majorBidi" w:hAnsiTheme="majorBidi"/>
          <w:color w:val="000000"/>
          <w:sz w:val="24"/>
        </w:rPr>
        <w:t>,</w:t>
      </w:r>
      <w:r w:rsidR="005E5F71" w:rsidRPr="004C731D">
        <w:rPr>
          <w:rFonts w:asciiTheme="majorBidi" w:hAnsiTheme="majorBidi"/>
          <w:color w:val="000000"/>
          <w:sz w:val="24"/>
        </w:rPr>
        <w:t xml:space="preserve"> and this</w:t>
      </w:r>
      <w:r w:rsidRPr="0016142F">
        <w:rPr>
          <w:rFonts w:asciiTheme="majorBidi" w:hAnsiTheme="majorBidi"/>
          <w:color w:val="000000"/>
          <w:sz w:val="24"/>
        </w:rPr>
        <w:t xml:space="preserve"> depends on </w:t>
      </w:r>
      <w:r w:rsidR="005E5F71" w:rsidRPr="0016142F">
        <w:rPr>
          <w:rFonts w:asciiTheme="majorBidi" w:hAnsiTheme="majorBidi"/>
          <w:color w:val="000000"/>
          <w:sz w:val="24"/>
        </w:rPr>
        <w:t>its</w:t>
      </w:r>
      <w:r w:rsidRPr="0016142F">
        <w:rPr>
          <w:rFonts w:asciiTheme="majorBidi" w:hAnsiTheme="majorBidi"/>
          <w:color w:val="000000"/>
          <w:sz w:val="24"/>
        </w:rPr>
        <w:t xml:space="preserve"> ability to </w:t>
      </w:r>
      <w:r w:rsidR="005E5F71" w:rsidRPr="0016142F">
        <w:rPr>
          <w:rFonts w:asciiTheme="majorBidi" w:hAnsiTheme="majorBidi"/>
          <w:color w:val="000000"/>
          <w:sz w:val="24"/>
        </w:rPr>
        <w:t>c</w:t>
      </w:r>
      <w:r w:rsidR="005E5F71" w:rsidRPr="008E7169">
        <w:rPr>
          <w:rFonts w:asciiTheme="majorBidi" w:hAnsiTheme="majorBidi"/>
          <w:color w:val="000000"/>
          <w:sz w:val="24"/>
        </w:rPr>
        <w:t>ope</w:t>
      </w:r>
      <w:r w:rsidRPr="008E7169">
        <w:rPr>
          <w:rFonts w:asciiTheme="majorBidi" w:hAnsiTheme="majorBidi"/>
          <w:color w:val="000000"/>
          <w:sz w:val="24"/>
        </w:rPr>
        <w:t xml:space="preserve"> </w:t>
      </w:r>
      <w:r w:rsidR="005E5F71" w:rsidRPr="00C44071">
        <w:rPr>
          <w:rFonts w:asciiTheme="majorBidi" w:hAnsiTheme="majorBidi"/>
          <w:color w:val="000000"/>
          <w:sz w:val="24"/>
        </w:rPr>
        <w:t xml:space="preserve">and assimilate </w:t>
      </w:r>
      <w:r w:rsidRPr="00C44071">
        <w:rPr>
          <w:rFonts w:asciiTheme="majorBidi" w:hAnsiTheme="majorBidi"/>
          <w:color w:val="000000"/>
          <w:sz w:val="24"/>
        </w:rPr>
        <w:t xml:space="preserve">the effects of </w:t>
      </w:r>
      <w:r w:rsidR="00EA223F" w:rsidRPr="00BE052D">
        <w:rPr>
          <w:rFonts w:asciiTheme="majorBidi" w:hAnsiTheme="majorBidi"/>
          <w:color w:val="000000"/>
          <w:sz w:val="24"/>
        </w:rPr>
        <w:t>COVID</w:t>
      </w:r>
      <w:r w:rsidRPr="00BE052D">
        <w:rPr>
          <w:rFonts w:asciiTheme="majorBidi" w:hAnsiTheme="majorBidi"/>
          <w:color w:val="000000"/>
          <w:sz w:val="24"/>
        </w:rPr>
        <w:t>-19 on the economy, some of them being exogenous and others structural.</w:t>
      </w:r>
    </w:p>
    <w:p w14:paraId="7AEFA7D4" w14:textId="77777777" w:rsidR="00185D4A" w:rsidRPr="00AA1CA4" w:rsidRDefault="00185D4A" w:rsidP="00DC6EDA">
      <w:pPr>
        <w:spacing w:after="0" w:line="240" w:lineRule="auto"/>
        <w:ind w:left="360"/>
        <w:jc w:val="both"/>
        <w:rPr>
          <w:rFonts w:asciiTheme="majorBidi" w:hAnsiTheme="majorBidi"/>
          <w:color w:val="000000"/>
          <w:sz w:val="24"/>
        </w:rPr>
      </w:pPr>
    </w:p>
    <w:p w14:paraId="5422659B" w14:textId="20CB6A0A" w:rsidR="00E86912" w:rsidRDefault="00A25C94" w:rsidP="003043FA">
      <w:pPr>
        <w:spacing w:after="0" w:line="240" w:lineRule="auto"/>
        <w:ind w:left="360"/>
        <w:jc w:val="both"/>
        <w:rPr>
          <w:rFonts w:asciiTheme="majorBidi" w:hAnsiTheme="majorBidi"/>
          <w:color w:val="000000"/>
          <w:sz w:val="24"/>
        </w:rPr>
      </w:pPr>
      <w:r w:rsidRPr="00AA1CA4">
        <w:rPr>
          <w:rFonts w:asciiTheme="majorBidi" w:hAnsiTheme="majorBidi"/>
          <w:color w:val="000000"/>
          <w:sz w:val="24"/>
        </w:rPr>
        <w:t>For this research, t</w:t>
      </w:r>
      <w:r w:rsidR="00D47512" w:rsidRPr="00AA1CA4">
        <w:rPr>
          <w:rFonts w:asciiTheme="majorBidi" w:hAnsiTheme="majorBidi"/>
          <w:color w:val="000000"/>
          <w:sz w:val="24"/>
        </w:rPr>
        <w:t>he impact</w:t>
      </w:r>
      <w:r w:rsidRPr="00AA1CA4">
        <w:rPr>
          <w:rFonts w:asciiTheme="majorBidi" w:hAnsiTheme="majorBidi"/>
          <w:color w:val="000000"/>
          <w:sz w:val="24"/>
        </w:rPr>
        <w:t xml:space="preserve"> of COVID-19</w:t>
      </w:r>
      <w:r w:rsidR="00D47512" w:rsidRPr="00AA1CA4">
        <w:rPr>
          <w:rFonts w:asciiTheme="majorBidi" w:hAnsiTheme="majorBidi"/>
          <w:color w:val="000000"/>
          <w:sz w:val="24"/>
        </w:rPr>
        <w:t xml:space="preserve"> on the Mexican economy </w:t>
      </w:r>
      <w:r w:rsidRPr="00147E97">
        <w:rPr>
          <w:rFonts w:asciiTheme="majorBidi" w:hAnsiTheme="majorBidi"/>
          <w:color w:val="000000"/>
          <w:sz w:val="24"/>
        </w:rPr>
        <w:t xml:space="preserve">might </w:t>
      </w:r>
      <w:r w:rsidR="00D47512" w:rsidRPr="00BB74DA">
        <w:rPr>
          <w:rFonts w:asciiTheme="majorBidi" w:hAnsiTheme="majorBidi"/>
          <w:color w:val="000000"/>
          <w:sz w:val="24"/>
        </w:rPr>
        <w:t xml:space="preserve">come from two types of sources: </w:t>
      </w:r>
      <w:r w:rsidR="00317BF0">
        <w:rPr>
          <w:rFonts w:asciiTheme="majorBidi" w:hAnsiTheme="majorBidi"/>
          <w:color w:val="000000"/>
          <w:sz w:val="24"/>
        </w:rPr>
        <w:t>"</w:t>
      </w:r>
      <w:r w:rsidR="00D47512" w:rsidRPr="00294B9C">
        <w:rPr>
          <w:rFonts w:asciiTheme="majorBidi" w:hAnsiTheme="majorBidi"/>
          <w:color w:val="000000"/>
          <w:sz w:val="24"/>
        </w:rPr>
        <w:t>exogenous shocks</w:t>
      </w:r>
      <w:r w:rsidR="00317BF0">
        <w:rPr>
          <w:rFonts w:asciiTheme="majorBidi" w:hAnsiTheme="majorBidi"/>
          <w:color w:val="000000"/>
          <w:sz w:val="24"/>
        </w:rPr>
        <w:t>"</w:t>
      </w:r>
      <w:r w:rsidR="00EE5749" w:rsidRPr="00294B9C">
        <w:rPr>
          <w:rFonts w:asciiTheme="majorBidi" w:hAnsiTheme="majorBidi"/>
          <w:color w:val="000000"/>
          <w:sz w:val="24"/>
        </w:rPr>
        <w:t xml:space="preserve"> and </w:t>
      </w:r>
      <w:r w:rsidR="00D47512" w:rsidRPr="00294B9C">
        <w:rPr>
          <w:rFonts w:asciiTheme="majorBidi" w:hAnsiTheme="majorBidi"/>
          <w:color w:val="000000"/>
          <w:sz w:val="24"/>
        </w:rPr>
        <w:t xml:space="preserve">what we </w:t>
      </w:r>
      <w:r w:rsidR="00D47512" w:rsidRPr="004C731D">
        <w:rPr>
          <w:rFonts w:asciiTheme="majorBidi" w:hAnsiTheme="majorBidi"/>
          <w:color w:val="000000"/>
          <w:sz w:val="24"/>
        </w:rPr>
        <w:t xml:space="preserve">call </w:t>
      </w:r>
      <w:r w:rsidR="00317BF0">
        <w:rPr>
          <w:rFonts w:asciiTheme="majorBidi" w:hAnsiTheme="majorBidi" w:cstheme="majorBidi"/>
          <w:color w:val="000000"/>
          <w:sz w:val="24"/>
          <w:szCs w:val="24"/>
        </w:rPr>
        <w:t>"</w:t>
      </w:r>
      <w:r w:rsidR="00D47512" w:rsidRPr="004C731D">
        <w:rPr>
          <w:rFonts w:asciiTheme="majorBidi" w:hAnsiTheme="majorBidi"/>
          <w:color w:val="000000"/>
          <w:sz w:val="24"/>
        </w:rPr>
        <w:t>structural effects</w:t>
      </w:r>
      <w:r w:rsidR="00C84FE1">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00D47512" w:rsidRPr="004C731D">
        <w:rPr>
          <w:rFonts w:asciiTheme="majorBidi" w:hAnsiTheme="majorBidi"/>
          <w:color w:val="000000"/>
          <w:sz w:val="24"/>
        </w:rPr>
        <w:t xml:space="preserve"> </w:t>
      </w:r>
    </w:p>
    <w:p w14:paraId="722327A8" w14:textId="77777777" w:rsidR="00BF48DE" w:rsidRPr="004C731D" w:rsidRDefault="00BF48DE" w:rsidP="003043FA">
      <w:pPr>
        <w:spacing w:after="0" w:line="240" w:lineRule="auto"/>
        <w:ind w:left="360"/>
        <w:jc w:val="both"/>
        <w:rPr>
          <w:rFonts w:asciiTheme="majorBidi" w:hAnsiTheme="majorBidi"/>
          <w:color w:val="000000"/>
          <w:sz w:val="24"/>
        </w:rPr>
      </w:pPr>
    </w:p>
    <w:p w14:paraId="5069321A" w14:textId="0D71F8AC" w:rsidR="00D47512" w:rsidRPr="00AA1CA4" w:rsidRDefault="00D47512" w:rsidP="006806EB">
      <w:pPr>
        <w:spacing w:after="0" w:line="240" w:lineRule="auto"/>
        <w:ind w:left="360"/>
        <w:jc w:val="both"/>
        <w:rPr>
          <w:rFonts w:asciiTheme="majorBidi" w:hAnsiTheme="majorBidi"/>
          <w:color w:val="000000"/>
          <w:sz w:val="24"/>
        </w:rPr>
      </w:pPr>
      <w:r w:rsidRPr="00BE052D">
        <w:rPr>
          <w:rFonts w:asciiTheme="majorBidi" w:hAnsiTheme="majorBidi"/>
          <w:color w:val="000000"/>
          <w:sz w:val="24"/>
        </w:rPr>
        <w:t xml:space="preserve">The exogenous shocks in our country were observed at the end of the first quarter of 2020 when countries began to implement isolation measures, and given that Mexico is </w:t>
      </w:r>
      <w:r w:rsidR="00AE79C6">
        <w:rPr>
          <w:rFonts w:asciiTheme="majorBidi" w:hAnsiTheme="majorBidi"/>
          <w:color w:val="000000"/>
          <w:sz w:val="24"/>
        </w:rPr>
        <w:t>predominan</w:t>
      </w:r>
      <w:r w:rsidRPr="00BE052D">
        <w:rPr>
          <w:rFonts w:asciiTheme="majorBidi" w:hAnsiTheme="majorBidi"/>
          <w:color w:val="000000"/>
          <w:sz w:val="24"/>
        </w:rPr>
        <w:t xml:space="preserve">tly a tourism-dependent country, these external measures reflected </w:t>
      </w:r>
      <w:r w:rsidR="00EE5749" w:rsidRPr="00BE052D">
        <w:rPr>
          <w:rFonts w:asciiTheme="majorBidi" w:hAnsiTheme="majorBidi"/>
          <w:color w:val="000000"/>
          <w:sz w:val="24"/>
        </w:rPr>
        <w:t>in Mexico the</w:t>
      </w:r>
      <w:r w:rsidRPr="00AA1CA4">
        <w:rPr>
          <w:rFonts w:asciiTheme="majorBidi" w:hAnsiTheme="majorBidi"/>
          <w:color w:val="000000"/>
          <w:sz w:val="24"/>
        </w:rPr>
        <w:t xml:space="preserve"> first shock in productivity (Esquivel, 2020). In addition to the isolation decisions that were being taken in other countries, Mexico was forced to make decisions regarding this</w:t>
      </w:r>
      <w:r w:rsidR="00B44DAD">
        <w:rPr>
          <w:rFonts w:asciiTheme="majorBidi" w:hAnsiTheme="majorBidi" w:cstheme="majorBidi"/>
          <w:color w:val="000000"/>
          <w:sz w:val="24"/>
          <w:szCs w:val="24"/>
        </w:rPr>
        <w:t>,</w:t>
      </w:r>
      <w:r w:rsidRPr="004C731D">
        <w:rPr>
          <w:rFonts w:asciiTheme="majorBidi" w:hAnsiTheme="majorBidi"/>
          <w:color w:val="000000"/>
          <w:sz w:val="24"/>
        </w:rPr>
        <w:t xml:space="preserve"> and it was then that </w:t>
      </w:r>
      <w:r w:rsidRPr="00BE052D">
        <w:rPr>
          <w:rFonts w:asciiTheme="majorBidi" w:hAnsiTheme="majorBidi"/>
          <w:color w:val="000000"/>
          <w:sz w:val="24"/>
        </w:rPr>
        <w:t xml:space="preserve">the policy of social distancing was proposed. This policy not only represented a measure to contain the </w:t>
      </w:r>
      <w:r w:rsidR="00EE5749" w:rsidRPr="00BE052D">
        <w:rPr>
          <w:rFonts w:asciiTheme="majorBidi" w:hAnsiTheme="majorBidi"/>
          <w:color w:val="000000"/>
          <w:sz w:val="24"/>
        </w:rPr>
        <w:t>virus but</w:t>
      </w:r>
      <w:r w:rsidRPr="00AA1CA4">
        <w:rPr>
          <w:rFonts w:asciiTheme="majorBidi" w:hAnsiTheme="majorBidi"/>
          <w:color w:val="000000"/>
          <w:sz w:val="24"/>
        </w:rPr>
        <w:t xml:space="preserve"> was also considered as part of the exogenous shock. Once the exogenous shock impacts </w:t>
      </w:r>
      <w:r w:rsidRPr="004C731D">
        <w:rPr>
          <w:rFonts w:asciiTheme="majorBidi" w:hAnsiTheme="majorBidi"/>
          <w:color w:val="000000"/>
          <w:sz w:val="24"/>
        </w:rPr>
        <w:t>(</w:t>
      </w:r>
      <w:r w:rsidR="00185D4A" w:rsidRPr="004C731D">
        <w:rPr>
          <w:rFonts w:asciiTheme="majorBidi" w:hAnsiTheme="majorBidi"/>
          <w:color w:val="000000"/>
          <w:sz w:val="24"/>
        </w:rPr>
        <w:t>COVID</w:t>
      </w:r>
      <w:r w:rsidRPr="0016142F">
        <w:rPr>
          <w:rFonts w:asciiTheme="majorBidi" w:hAnsiTheme="majorBidi"/>
          <w:color w:val="000000"/>
          <w:sz w:val="24"/>
        </w:rPr>
        <w:t xml:space="preserve">-19), there are </w:t>
      </w:r>
      <w:r w:rsidR="00EE5749" w:rsidRPr="0016142F">
        <w:rPr>
          <w:rFonts w:asciiTheme="majorBidi" w:hAnsiTheme="majorBidi"/>
          <w:color w:val="000000"/>
          <w:sz w:val="24"/>
        </w:rPr>
        <w:t>implications</w:t>
      </w:r>
      <w:r w:rsidRPr="0016142F">
        <w:rPr>
          <w:rFonts w:asciiTheme="majorBidi" w:hAnsiTheme="majorBidi"/>
          <w:color w:val="000000"/>
          <w:sz w:val="24"/>
        </w:rPr>
        <w:t xml:space="preserve"> in the economy </w:t>
      </w:r>
      <w:r w:rsidR="00F97E57">
        <w:rPr>
          <w:rFonts w:asciiTheme="majorBidi" w:hAnsiTheme="majorBidi"/>
          <w:color w:val="000000"/>
          <w:sz w:val="24"/>
        </w:rPr>
        <w:t>that</w:t>
      </w:r>
      <w:r w:rsidR="00F97E57" w:rsidRPr="004C731D">
        <w:rPr>
          <w:rFonts w:asciiTheme="majorBidi" w:hAnsiTheme="majorBidi"/>
          <w:color w:val="000000"/>
          <w:sz w:val="24"/>
        </w:rPr>
        <w:t xml:space="preserve"> </w:t>
      </w:r>
      <w:r w:rsidRPr="004C731D">
        <w:rPr>
          <w:rFonts w:asciiTheme="majorBidi" w:hAnsiTheme="majorBidi"/>
          <w:color w:val="000000"/>
          <w:sz w:val="24"/>
        </w:rPr>
        <w:t xml:space="preserve">are usually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effects</w:t>
      </w:r>
      <w:r w:rsidR="005C6071">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005C6071" w:rsidRPr="004C731D">
        <w:rPr>
          <w:rFonts w:asciiTheme="majorBidi" w:hAnsiTheme="majorBidi"/>
          <w:color w:val="000000"/>
          <w:sz w:val="24"/>
        </w:rPr>
        <w:t xml:space="preserve"> </w:t>
      </w:r>
      <w:r w:rsidRPr="004C731D">
        <w:rPr>
          <w:rFonts w:asciiTheme="majorBidi" w:hAnsiTheme="majorBidi"/>
          <w:color w:val="000000"/>
          <w:sz w:val="24"/>
        </w:rPr>
        <w:t>By structural effects</w:t>
      </w:r>
      <w:r w:rsidR="00A25C94" w:rsidRPr="0016142F">
        <w:rPr>
          <w:rFonts w:asciiTheme="majorBidi" w:hAnsiTheme="majorBidi"/>
          <w:color w:val="000000"/>
          <w:sz w:val="24"/>
        </w:rPr>
        <w:t>,</w:t>
      </w:r>
      <w:r w:rsidRPr="0016142F">
        <w:rPr>
          <w:rFonts w:asciiTheme="majorBidi" w:hAnsiTheme="majorBidi"/>
          <w:color w:val="000000"/>
          <w:sz w:val="24"/>
        </w:rPr>
        <w:t xml:space="preserve"> we refer to the interrelationships of the different existing economic agents, which produce complex relationships, and these relationships bring with them different </w:t>
      </w:r>
      <w:r w:rsidR="00EE5749" w:rsidRPr="00BE052D">
        <w:rPr>
          <w:rFonts w:asciiTheme="majorBidi" w:hAnsiTheme="majorBidi"/>
          <w:color w:val="000000"/>
          <w:sz w:val="24"/>
        </w:rPr>
        <w:t>implications</w:t>
      </w:r>
      <w:r w:rsidRPr="00BE052D">
        <w:rPr>
          <w:rFonts w:asciiTheme="majorBidi" w:hAnsiTheme="majorBidi"/>
          <w:color w:val="000000"/>
          <w:sz w:val="24"/>
        </w:rPr>
        <w:t xml:space="preserve"> in the markets (Sampedro and Martinez, 1969). For Mexico, the structural effects derived from C</w:t>
      </w:r>
      <w:r w:rsidR="003F2375" w:rsidRPr="00AA1CA4">
        <w:rPr>
          <w:rFonts w:asciiTheme="majorBidi" w:hAnsiTheme="majorBidi"/>
          <w:color w:val="000000"/>
          <w:sz w:val="24"/>
        </w:rPr>
        <w:t>OVID</w:t>
      </w:r>
      <w:r w:rsidRPr="00AA1CA4">
        <w:rPr>
          <w:rFonts w:asciiTheme="majorBidi" w:hAnsiTheme="majorBidi"/>
          <w:color w:val="000000"/>
          <w:sz w:val="24"/>
        </w:rPr>
        <w:t xml:space="preserve">-19 can be divided into three </w:t>
      </w:r>
      <w:r w:rsidR="00996544" w:rsidRPr="00AA1CA4">
        <w:rPr>
          <w:rFonts w:asciiTheme="majorBidi" w:hAnsiTheme="majorBidi"/>
          <w:color w:val="000000"/>
          <w:sz w:val="24"/>
        </w:rPr>
        <w:t>forms</w:t>
      </w:r>
      <w:r w:rsidRPr="00AA1CA4">
        <w:rPr>
          <w:rFonts w:asciiTheme="majorBidi" w:hAnsiTheme="majorBidi"/>
          <w:color w:val="000000"/>
          <w:sz w:val="24"/>
        </w:rPr>
        <w:t>:</w:t>
      </w:r>
    </w:p>
    <w:p w14:paraId="591CAEEC" w14:textId="691437C5" w:rsidR="005A5CDB" w:rsidRPr="00BE052D" w:rsidRDefault="00D47512" w:rsidP="005C6071">
      <w:pPr>
        <w:pStyle w:val="NormalWeb"/>
        <w:spacing w:after="0" w:afterAutospacing="0"/>
        <w:ind w:left="708"/>
        <w:jc w:val="both"/>
        <w:rPr>
          <w:color w:val="000000"/>
        </w:rPr>
      </w:pPr>
      <w:r w:rsidRPr="00AA1CA4">
        <w:rPr>
          <w:color w:val="000000"/>
        </w:rPr>
        <w:t xml:space="preserve">1. </w:t>
      </w:r>
      <w:r w:rsidRPr="00147E97">
        <w:rPr>
          <w:i/>
          <w:color w:val="000000"/>
        </w:rPr>
        <w:t>Supply</w:t>
      </w:r>
      <w:r w:rsidR="000A4DF1" w:rsidRPr="00BB74DA">
        <w:rPr>
          <w:i/>
          <w:color w:val="000000"/>
        </w:rPr>
        <w:t xml:space="preserve"> </w:t>
      </w:r>
      <w:r w:rsidRPr="00294B9C">
        <w:rPr>
          <w:i/>
          <w:color w:val="000000"/>
        </w:rPr>
        <w:t>side</w:t>
      </w:r>
      <w:r w:rsidR="000A4DF1" w:rsidRPr="00294B9C">
        <w:rPr>
          <w:i/>
          <w:color w:val="000000"/>
        </w:rPr>
        <w:t xml:space="preserve"> </w:t>
      </w:r>
      <w:r w:rsidR="005C6071">
        <w:rPr>
          <w:i/>
          <w:iCs/>
          <w:color w:val="000000"/>
        </w:rPr>
        <w:t>–</w:t>
      </w:r>
      <w:r w:rsidR="005C6071" w:rsidRPr="004C731D">
        <w:rPr>
          <w:i/>
          <w:color w:val="000000"/>
        </w:rPr>
        <w:t xml:space="preserve"> </w:t>
      </w:r>
      <w:r w:rsidR="00DB2677" w:rsidRPr="004C731D">
        <w:rPr>
          <w:i/>
          <w:color w:val="000000"/>
        </w:rPr>
        <w:t xml:space="preserve">real </w:t>
      </w:r>
      <w:r w:rsidRPr="0016142F">
        <w:rPr>
          <w:i/>
          <w:color w:val="000000"/>
        </w:rPr>
        <w:t>effect</w:t>
      </w:r>
      <w:r w:rsidR="0006224D" w:rsidRPr="0016142F">
        <w:rPr>
          <w:i/>
          <w:color w:val="000000"/>
        </w:rPr>
        <w:t>s</w:t>
      </w:r>
      <w:r w:rsidRPr="0016142F">
        <w:rPr>
          <w:color w:val="000000"/>
        </w:rPr>
        <w:t xml:space="preserve">: the isolation brought the </w:t>
      </w:r>
      <w:r w:rsidRPr="00D47512">
        <w:rPr>
          <w:color w:val="000000"/>
        </w:rPr>
        <w:t>country</w:t>
      </w:r>
      <w:r w:rsidR="00317BF0">
        <w:rPr>
          <w:color w:val="000000"/>
        </w:rPr>
        <w:t>'</w:t>
      </w:r>
      <w:r w:rsidRPr="00D47512">
        <w:rPr>
          <w:color w:val="000000"/>
        </w:rPr>
        <w:t>s</w:t>
      </w:r>
      <w:r w:rsidRPr="004C731D">
        <w:rPr>
          <w:color w:val="000000"/>
        </w:rPr>
        <w:t xml:space="preserve"> companies and industries to a standstill, and their supply chains and input production led to a reduction</w:t>
      </w:r>
      <w:r w:rsidRPr="00BE052D">
        <w:rPr>
          <w:color w:val="000000"/>
        </w:rPr>
        <w:t xml:space="preserve"> in aggregate supply.</w:t>
      </w:r>
      <w:r w:rsidR="005A5CDB" w:rsidRPr="00BE052D">
        <w:rPr>
          <w:color w:val="000000"/>
        </w:rPr>
        <w:t xml:space="preserve"> </w:t>
      </w:r>
    </w:p>
    <w:p w14:paraId="1BA01400" w14:textId="731D4CD9" w:rsidR="005A5CDB" w:rsidRPr="00C44071" w:rsidRDefault="00D47512" w:rsidP="005C6071">
      <w:pPr>
        <w:pStyle w:val="NormalWeb"/>
        <w:spacing w:after="0" w:afterAutospacing="0"/>
        <w:ind w:left="708"/>
        <w:jc w:val="both"/>
        <w:rPr>
          <w:color w:val="000000"/>
        </w:rPr>
      </w:pPr>
      <w:r w:rsidRPr="00BE052D">
        <w:rPr>
          <w:color w:val="000000"/>
        </w:rPr>
        <w:t xml:space="preserve">2. </w:t>
      </w:r>
      <w:r w:rsidRPr="00AA1CA4">
        <w:rPr>
          <w:i/>
          <w:color w:val="000000"/>
        </w:rPr>
        <w:t>Demand</w:t>
      </w:r>
      <w:r w:rsidR="000A4DF1" w:rsidRPr="00AA1CA4">
        <w:rPr>
          <w:i/>
          <w:color w:val="000000"/>
        </w:rPr>
        <w:t xml:space="preserve"> </w:t>
      </w:r>
      <w:r w:rsidRPr="00AA1CA4">
        <w:rPr>
          <w:i/>
          <w:color w:val="000000"/>
        </w:rPr>
        <w:t>side</w:t>
      </w:r>
      <w:r w:rsidR="000A4DF1" w:rsidRPr="00AA1CA4">
        <w:rPr>
          <w:i/>
          <w:color w:val="000000"/>
        </w:rPr>
        <w:t xml:space="preserve"> </w:t>
      </w:r>
      <w:r w:rsidR="005C6071">
        <w:rPr>
          <w:i/>
          <w:iCs/>
          <w:color w:val="000000"/>
        </w:rPr>
        <w:t>–</w:t>
      </w:r>
      <w:r w:rsidR="005C6071" w:rsidRPr="004C731D">
        <w:rPr>
          <w:i/>
          <w:color w:val="000000"/>
        </w:rPr>
        <w:t xml:space="preserve"> </w:t>
      </w:r>
      <w:r w:rsidR="00DB2677" w:rsidRPr="004C731D">
        <w:rPr>
          <w:i/>
          <w:color w:val="000000"/>
        </w:rPr>
        <w:t xml:space="preserve">real </w:t>
      </w:r>
      <w:r w:rsidRPr="0016142F">
        <w:rPr>
          <w:i/>
          <w:color w:val="000000"/>
        </w:rPr>
        <w:t>effect</w:t>
      </w:r>
      <w:r w:rsidR="0006224D" w:rsidRPr="0016142F">
        <w:rPr>
          <w:i/>
          <w:color w:val="000000"/>
        </w:rPr>
        <w:t>s</w:t>
      </w:r>
      <w:r w:rsidRPr="0016142F">
        <w:rPr>
          <w:color w:val="000000"/>
        </w:rPr>
        <w:t>: the social distancing and the contraction of the aggregate supply triggered an increase in unemployment in the country and with it the decrease in the economic capacity of families, resulting in a reduc</w:t>
      </w:r>
      <w:r w:rsidRPr="00C44071">
        <w:rPr>
          <w:color w:val="000000"/>
        </w:rPr>
        <w:t>tion in the demand for goods and services in the economy.</w:t>
      </w:r>
      <w:r w:rsidR="005A5CDB" w:rsidRPr="00C44071">
        <w:rPr>
          <w:color w:val="000000"/>
        </w:rPr>
        <w:t xml:space="preserve"> </w:t>
      </w:r>
    </w:p>
    <w:p w14:paraId="293DD8CC" w14:textId="461A2920" w:rsidR="00D47512" w:rsidRPr="00294B9C" w:rsidRDefault="00D47512" w:rsidP="006806EB">
      <w:pPr>
        <w:pStyle w:val="NormalWeb"/>
        <w:spacing w:after="0" w:afterAutospacing="0"/>
        <w:ind w:left="708"/>
        <w:jc w:val="both"/>
        <w:rPr>
          <w:rFonts w:asciiTheme="majorBidi" w:hAnsiTheme="majorBidi"/>
          <w:color w:val="000000"/>
        </w:rPr>
      </w:pPr>
      <w:r w:rsidRPr="00C44071">
        <w:rPr>
          <w:rFonts w:asciiTheme="majorBidi" w:hAnsiTheme="majorBidi"/>
          <w:color w:val="000000"/>
        </w:rPr>
        <w:t>3</w:t>
      </w:r>
      <w:r w:rsidRPr="00C44071">
        <w:rPr>
          <w:rFonts w:asciiTheme="majorBidi" w:hAnsiTheme="majorBidi"/>
          <w:i/>
          <w:color w:val="000000"/>
        </w:rPr>
        <w:t>. Financial</w:t>
      </w:r>
      <w:r w:rsidR="000A4DF1" w:rsidRPr="00C44071">
        <w:rPr>
          <w:rFonts w:asciiTheme="majorBidi" w:hAnsiTheme="majorBidi"/>
          <w:i/>
          <w:color w:val="000000"/>
        </w:rPr>
        <w:t xml:space="preserve"> risk </w:t>
      </w:r>
      <w:r w:rsidR="00084A29">
        <w:rPr>
          <w:rFonts w:asciiTheme="majorBidi" w:hAnsiTheme="majorBidi"/>
          <w:i/>
          <w:color w:val="000000"/>
        </w:rPr>
        <w:t>–</w:t>
      </w:r>
      <w:r w:rsidR="00084A29" w:rsidRPr="004C731D">
        <w:rPr>
          <w:rFonts w:asciiTheme="majorBidi" w:hAnsiTheme="majorBidi"/>
          <w:i/>
          <w:color w:val="000000"/>
        </w:rPr>
        <w:t xml:space="preserve"> </w:t>
      </w:r>
      <w:r w:rsidR="0006224D" w:rsidRPr="004C731D">
        <w:rPr>
          <w:rFonts w:asciiTheme="majorBidi" w:hAnsiTheme="majorBidi"/>
          <w:i/>
          <w:color w:val="000000"/>
        </w:rPr>
        <w:t>uncertainty</w:t>
      </w:r>
      <w:r w:rsidRPr="0016142F">
        <w:rPr>
          <w:rFonts w:asciiTheme="majorBidi" w:hAnsiTheme="majorBidi"/>
          <w:i/>
          <w:color w:val="000000"/>
        </w:rPr>
        <w:t xml:space="preserve"> effect</w:t>
      </w:r>
      <w:r w:rsidR="00DB2677" w:rsidRPr="0016142F">
        <w:rPr>
          <w:rFonts w:asciiTheme="majorBidi" w:hAnsiTheme="majorBidi"/>
          <w:i/>
          <w:color w:val="000000"/>
        </w:rPr>
        <w:t>s</w:t>
      </w:r>
      <w:r w:rsidRPr="0016142F">
        <w:rPr>
          <w:rFonts w:asciiTheme="majorBidi" w:hAnsiTheme="majorBidi"/>
          <w:color w:val="000000"/>
        </w:rPr>
        <w:t>: due to</w:t>
      </w:r>
      <w:r w:rsidR="00454581" w:rsidRPr="008E7169">
        <w:rPr>
          <w:rFonts w:asciiTheme="majorBidi" w:hAnsiTheme="majorBidi"/>
          <w:color w:val="000000"/>
        </w:rPr>
        <w:t xml:space="preserve"> the increase in</w:t>
      </w:r>
      <w:r w:rsidRPr="008E7169">
        <w:rPr>
          <w:rFonts w:asciiTheme="majorBidi" w:hAnsiTheme="majorBidi"/>
          <w:color w:val="000000"/>
        </w:rPr>
        <w:t xml:space="preserve"> external economic uncertainty, the Mexican economy experience</w:t>
      </w:r>
      <w:r w:rsidR="00454581" w:rsidRPr="00BE052D">
        <w:rPr>
          <w:rFonts w:asciiTheme="majorBidi" w:hAnsiTheme="majorBidi"/>
          <w:color w:val="000000"/>
        </w:rPr>
        <w:t>d</w:t>
      </w:r>
      <w:r w:rsidRPr="00BE052D">
        <w:rPr>
          <w:rFonts w:asciiTheme="majorBidi" w:hAnsiTheme="majorBidi"/>
          <w:color w:val="000000"/>
        </w:rPr>
        <w:t xml:space="preserve"> increases in interest rates, risk premiums</w:t>
      </w:r>
      <w:r w:rsidR="007F7867" w:rsidRPr="00BE052D">
        <w:rPr>
          <w:rFonts w:asciiTheme="majorBidi" w:hAnsiTheme="majorBidi"/>
          <w:color w:val="000000"/>
        </w:rPr>
        <w:t>,</w:t>
      </w:r>
      <w:r w:rsidRPr="00AA1CA4">
        <w:rPr>
          <w:rFonts w:asciiTheme="majorBidi" w:hAnsiTheme="majorBidi"/>
          <w:color w:val="000000"/>
        </w:rPr>
        <w:t xml:space="preserve"> </w:t>
      </w:r>
      <w:r w:rsidR="00454581" w:rsidRPr="00AA1CA4">
        <w:rPr>
          <w:rFonts w:asciiTheme="majorBidi" w:hAnsiTheme="majorBidi"/>
          <w:color w:val="000000"/>
        </w:rPr>
        <w:t>and</w:t>
      </w:r>
      <w:r w:rsidR="000731B6" w:rsidRPr="00AA1CA4">
        <w:rPr>
          <w:rFonts w:asciiTheme="majorBidi" w:hAnsiTheme="majorBidi"/>
          <w:color w:val="000000"/>
        </w:rPr>
        <w:t xml:space="preserve"> </w:t>
      </w:r>
      <w:r w:rsidR="00D709E7" w:rsidRPr="00AA1CA4">
        <w:rPr>
          <w:rFonts w:asciiTheme="majorBidi" w:hAnsiTheme="majorBidi"/>
          <w:color w:val="000000"/>
        </w:rPr>
        <w:t>Mexican P</w:t>
      </w:r>
      <w:r w:rsidR="000731B6" w:rsidRPr="00AA1CA4">
        <w:rPr>
          <w:rFonts w:asciiTheme="majorBidi" w:hAnsiTheme="majorBidi"/>
          <w:color w:val="000000"/>
        </w:rPr>
        <w:t>eso</w:t>
      </w:r>
      <w:r w:rsidR="00D709E7" w:rsidRPr="00147E97">
        <w:rPr>
          <w:rFonts w:asciiTheme="majorBidi" w:hAnsiTheme="majorBidi"/>
          <w:color w:val="000000"/>
        </w:rPr>
        <w:t xml:space="preserve"> (</w:t>
      </w:r>
      <w:r w:rsidRPr="00BB74DA">
        <w:rPr>
          <w:rFonts w:asciiTheme="majorBidi" w:hAnsiTheme="majorBidi"/>
          <w:color w:val="000000"/>
        </w:rPr>
        <w:t>curren</w:t>
      </w:r>
      <w:r w:rsidRPr="00294B9C">
        <w:rPr>
          <w:rFonts w:asciiTheme="majorBidi" w:hAnsiTheme="majorBidi"/>
          <w:color w:val="000000"/>
        </w:rPr>
        <w:t>cy</w:t>
      </w:r>
      <w:r w:rsidR="00D709E7" w:rsidRPr="00294B9C">
        <w:rPr>
          <w:rFonts w:asciiTheme="majorBidi" w:hAnsiTheme="majorBidi"/>
          <w:color w:val="000000"/>
        </w:rPr>
        <w:t>)</w:t>
      </w:r>
      <w:r w:rsidRPr="00294B9C">
        <w:rPr>
          <w:rFonts w:asciiTheme="majorBidi" w:hAnsiTheme="majorBidi"/>
          <w:color w:val="000000"/>
        </w:rPr>
        <w:t xml:space="preserve"> depreciation (Banco de México, 2020).</w:t>
      </w:r>
    </w:p>
    <w:p w14:paraId="30BE160B" w14:textId="77777777" w:rsidR="005A5CDB" w:rsidRPr="00294B9C" w:rsidRDefault="005A5CDB" w:rsidP="00DC6EDA">
      <w:pPr>
        <w:spacing w:after="0" w:line="240" w:lineRule="auto"/>
        <w:jc w:val="both"/>
        <w:rPr>
          <w:rFonts w:asciiTheme="majorBidi" w:hAnsiTheme="majorBidi"/>
          <w:color w:val="000000"/>
          <w:sz w:val="24"/>
        </w:rPr>
      </w:pPr>
    </w:p>
    <w:p w14:paraId="1380070C" w14:textId="74A89A0C" w:rsidR="00D47512" w:rsidRPr="00BE052D" w:rsidRDefault="00D47512" w:rsidP="00C73D36">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Identifying the sources of the economic impact will help us </w:t>
      </w:r>
      <w:r w:rsidRPr="004C731D">
        <w:rPr>
          <w:rFonts w:asciiTheme="majorBidi" w:hAnsiTheme="majorBidi"/>
          <w:color w:val="000000"/>
          <w:sz w:val="24"/>
        </w:rPr>
        <w:t xml:space="preserve">understand the repercussions that this impact will have on the markets, specifically for this study, </w:t>
      </w:r>
      <w:r w:rsidR="00C73D36">
        <w:rPr>
          <w:rFonts w:asciiTheme="majorBidi" w:hAnsiTheme="majorBidi" w:cstheme="majorBidi"/>
          <w:color w:val="000000"/>
          <w:sz w:val="24"/>
          <w:szCs w:val="24"/>
        </w:rPr>
        <w:t xml:space="preserve">and </w:t>
      </w:r>
      <w:r w:rsidRPr="004C731D">
        <w:rPr>
          <w:rFonts w:asciiTheme="majorBidi" w:hAnsiTheme="majorBidi"/>
          <w:color w:val="000000"/>
          <w:sz w:val="24"/>
        </w:rPr>
        <w:t>on the Mexican labor market.</w:t>
      </w:r>
    </w:p>
    <w:p w14:paraId="0B9510B6" w14:textId="4FBADCDF" w:rsidR="00454581" w:rsidRPr="00BE052D" w:rsidRDefault="00454581" w:rsidP="00DC6EDA">
      <w:pPr>
        <w:spacing w:after="0" w:line="240" w:lineRule="auto"/>
        <w:jc w:val="both"/>
        <w:rPr>
          <w:rFonts w:asciiTheme="majorBidi" w:hAnsiTheme="majorBidi"/>
          <w:color w:val="000000"/>
          <w:sz w:val="24"/>
        </w:rPr>
      </w:pPr>
    </w:p>
    <w:p w14:paraId="4EB841DC" w14:textId="77777777" w:rsidR="00EE5973" w:rsidRPr="00AA1CA4" w:rsidRDefault="00EE5973" w:rsidP="00DC6EDA">
      <w:pPr>
        <w:spacing w:after="0" w:line="240" w:lineRule="auto"/>
        <w:jc w:val="both"/>
        <w:rPr>
          <w:rFonts w:asciiTheme="majorBidi" w:hAnsiTheme="majorBidi"/>
          <w:color w:val="000000"/>
          <w:sz w:val="24"/>
        </w:rPr>
      </w:pPr>
    </w:p>
    <w:p w14:paraId="590C6B55" w14:textId="332DCE46" w:rsidR="00D47512" w:rsidRPr="00294B9C" w:rsidRDefault="00D47512"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 </w:t>
      </w:r>
      <w:r w:rsidR="00256174" w:rsidRPr="00AA1CA4">
        <w:rPr>
          <w:rFonts w:asciiTheme="majorBidi" w:hAnsiTheme="majorBidi"/>
          <w:b/>
          <w:color w:val="000000"/>
          <w:sz w:val="24"/>
        </w:rPr>
        <w:t>T</w:t>
      </w:r>
      <w:r w:rsidR="00A25C94" w:rsidRPr="00AA1CA4">
        <w:rPr>
          <w:rFonts w:asciiTheme="majorBidi" w:hAnsiTheme="majorBidi"/>
          <w:b/>
          <w:color w:val="000000"/>
          <w:sz w:val="24"/>
        </w:rPr>
        <w:t xml:space="preserve">axonomy of </w:t>
      </w:r>
      <w:r w:rsidR="00256174" w:rsidRPr="00147E97">
        <w:rPr>
          <w:rFonts w:asciiTheme="majorBidi" w:hAnsiTheme="majorBidi"/>
          <w:b/>
          <w:color w:val="000000"/>
          <w:sz w:val="24"/>
        </w:rPr>
        <w:t>l</w:t>
      </w:r>
      <w:r w:rsidR="00256174" w:rsidRPr="00BB74DA">
        <w:rPr>
          <w:rFonts w:asciiTheme="majorBidi" w:hAnsiTheme="majorBidi"/>
          <w:b/>
          <w:color w:val="000000"/>
          <w:sz w:val="24"/>
        </w:rPr>
        <w:t xml:space="preserve">abor market </w:t>
      </w:r>
      <w:r w:rsidR="00317BF0">
        <w:rPr>
          <w:rFonts w:asciiTheme="majorBidi" w:hAnsiTheme="majorBidi"/>
          <w:b/>
          <w:color w:val="000000"/>
          <w:sz w:val="24"/>
        </w:rPr>
        <w:t>"</w:t>
      </w:r>
      <w:r w:rsidR="00A25C94" w:rsidRPr="00294B9C">
        <w:rPr>
          <w:rFonts w:asciiTheme="majorBidi" w:hAnsiTheme="majorBidi"/>
          <w:b/>
          <w:color w:val="000000"/>
          <w:sz w:val="24"/>
        </w:rPr>
        <w:t>segments</w:t>
      </w:r>
      <w:r w:rsidR="00DA19CF">
        <w:rPr>
          <w:rFonts w:asciiTheme="majorBidi" w:hAnsiTheme="majorBidi"/>
          <w:b/>
          <w:color w:val="000000"/>
          <w:sz w:val="24"/>
        </w:rPr>
        <w:t>.</w:t>
      </w:r>
      <w:r w:rsidR="00317BF0">
        <w:rPr>
          <w:rFonts w:asciiTheme="majorBidi" w:hAnsiTheme="majorBidi"/>
          <w:b/>
          <w:color w:val="000000"/>
          <w:sz w:val="24"/>
        </w:rPr>
        <w:t>"</w:t>
      </w:r>
    </w:p>
    <w:p w14:paraId="0C3B0852" w14:textId="77777777" w:rsidR="00EE5973" w:rsidRPr="00294B9C" w:rsidRDefault="00EE5973" w:rsidP="00DC6EDA">
      <w:pPr>
        <w:spacing w:after="0" w:line="240" w:lineRule="auto"/>
        <w:jc w:val="both"/>
        <w:rPr>
          <w:rFonts w:asciiTheme="majorBidi" w:hAnsiTheme="majorBidi"/>
          <w:color w:val="000000"/>
          <w:sz w:val="24"/>
        </w:rPr>
      </w:pPr>
    </w:p>
    <w:p w14:paraId="65D3E335" w14:textId="27528961" w:rsidR="00B6607B" w:rsidRPr="008E7169" w:rsidRDefault="00D47512"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Employment in Mexico represents a </w:t>
      </w:r>
      <w:r w:rsidR="00AE79C6">
        <w:rPr>
          <w:rFonts w:asciiTheme="majorBidi" w:hAnsiTheme="majorBidi"/>
          <w:color w:val="000000"/>
          <w:sz w:val="24"/>
        </w:rPr>
        <w:t>significant</w:t>
      </w:r>
      <w:r w:rsidRPr="00294B9C">
        <w:rPr>
          <w:rFonts w:asciiTheme="majorBidi" w:hAnsiTheme="majorBidi"/>
          <w:color w:val="000000"/>
          <w:sz w:val="24"/>
        </w:rPr>
        <w:t xml:space="preserve"> issue in the country</w:t>
      </w:r>
      <w:r w:rsidR="00317BF0">
        <w:rPr>
          <w:rFonts w:asciiTheme="majorBidi" w:hAnsiTheme="majorBidi"/>
          <w:color w:val="000000"/>
          <w:sz w:val="24"/>
        </w:rPr>
        <w:t>'</w:t>
      </w:r>
      <w:r w:rsidRPr="00294B9C">
        <w:rPr>
          <w:rFonts w:asciiTheme="majorBidi" w:hAnsiTheme="majorBidi"/>
          <w:color w:val="000000"/>
          <w:sz w:val="24"/>
        </w:rPr>
        <w:t>s</w:t>
      </w:r>
      <w:r w:rsidRPr="004C731D">
        <w:rPr>
          <w:rFonts w:asciiTheme="majorBidi" w:hAnsiTheme="majorBidi"/>
          <w:color w:val="000000"/>
          <w:sz w:val="24"/>
        </w:rPr>
        <w:t xml:space="preserve"> economic structure, partly due to the </w:t>
      </w:r>
      <w:r w:rsidR="00317BF0">
        <w:rPr>
          <w:rFonts w:asciiTheme="majorBidi" w:hAnsiTheme="majorBidi" w:cstheme="majorBidi"/>
          <w:color w:val="000000"/>
          <w:sz w:val="24"/>
          <w:szCs w:val="24"/>
        </w:rPr>
        <w:t>"</w:t>
      </w:r>
      <w:r w:rsidRPr="004C731D">
        <w:rPr>
          <w:rFonts w:asciiTheme="majorBidi" w:hAnsiTheme="majorBidi"/>
          <w:color w:val="000000"/>
          <w:sz w:val="24"/>
        </w:rPr>
        <w:t>duality</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faced by its labor market</w:t>
      </w:r>
      <w:r w:rsidR="00B6607B" w:rsidRPr="004C731D">
        <w:rPr>
          <w:rFonts w:asciiTheme="majorBidi" w:hAnsiTheme="majorBidi"/>
          <w:color w:val="000000"/>
          <w:sz w:val="24"/>
        </w:rPr>
        <w:t xml:space="preserve"> </w:t>
      </w:r>
      <w:r w:rsidR="00B6607B" w:rsidRPr="0016142F">
        <w:rPr>
          <w:rFonts w:asciiTheme="majorBidi" w:hAnsiTheme="majorBidi"/>
          <w:color w:val="000000"/>
          <w:sz w:val="24"/>
        </w:rPr>
        <w:t>(Maloney 2004; Moreno 2008)</w:t>
      </w:r>
      <w:r w:rsidRPr="0016142F">
        <w:rPr>
          <w:rFonts w:asciiTheme="majorBidi" w:hAnsiTheme="majorBidi"/>
          <w:color w:val="000000"/>
          <w:sz w:val="24"/>
        </w:rPr>
        <w:t xml:space="preserve">. </w:t>
      </w:r>
    </w:p>
    <w:p w14:paraId="47CE17B7" w14:textId="77777777" w:rsidR="00B6607B" w:rsidRPr="00BE052D" w:rsidRDefault="00B6607B" w:rsidP="00DC6EDA">
      <w:pPr>
        <w:spacing w:after="0" w:line="240" w:lineRule="auto"/>
        <w:jc w:val="both"/>
        <w:rPr>
          <w:rFonts w:asciiTheme="majorBidi" w:hAnsiTheme="majorBidi"/>
          <w:color w:val="000000"/>
          <w:sz w:val="24"/>
        </w:rPr>
      </w:pPr>
    </w:p>
    <w:p w14:paraId="760B21C0" w14:textId="25AF6157" w:rsidR="00D47512" w:rsidRPr="00BE052D" w:rsidRDefault="00D47512" w:rsidP="00DE372E">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The term </w:t>
      </w:r>
      <w:r w:rsidR="00317BF0">
        <w:rPr>
          <w:rFonts w:asciiTheme="majorBidi" w:hAnsiTheme="majorBidi" w:cstheme="majorBidi"/>
          <w:color w:val="000000"/>
          <w:sz w:val="24"/>
          <w:szCs w:val="24"/>
        </w:rPr>
        <w:t>"</w:t>
      </w:r>
      <w:r w:rsidRPr="004C731D">
        <w:rPr>
          <w:rFonts w:asciiTheme="majorBidi" w:hAnsiTheme="majorBidi"/>
          <w:color w:val="000000"/>
          <w:sz w:val="24"/>
        </w:rPr>
        <w:t>dual marke</w:t>
      </w:r>
      <w:r w:rsidR="00DE372E" w:rsidRPr="004C731D">
        <w:rPr>
          <w:rFonts w:asciiTheme="majorBidi" w:hAnsiTheme="majorBidi"/>
          <w:color w:val="000000"/>
          <w:sz w:val="24"/>
        </w:rPr>
        <w:t>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refers to the existence of a market outside the formal labor market</w:t>
      </w:r>
      <w:r w:rsidR="00DE372E" w:rsidRPr="0016142F">
        <w:rPr>
          <w:rFonts w:asciiTheme="majorBidi" w:hAnsiTheme="majorBidi"/>
          <w:color w:val="000000"/>
          <w:sz w:val="24"/>
        </w:rPr>
        <w:t xml:space="preserve">, </w:t>
      </w:r>
      <w:r w:rsidRPr="0016142F">
        <w:rPr>
          <w:rFonts w:asciiTheme="majorBidi" w:hAnsiTheme="majorBidi"/>
          <w:color w:val="000000"/>
          <w:sz w:val="24"/>
        </w:rPr>
        <w:t xml:space="preserve">what Keith Hart (1970) called the </w:t>
      </w:r>
      <w:r w:rsidR="00317BF0">
        <w:rPr>
          <w:rFonts w:asciiTheme="majorBidi" w:hAnsiTheme="majorBidi" w:cstheme="majorBidi"/>
          <w:color w:val="000000"/>
          <w:sz w:val="24"/>
          <w:szCs w:val="24"/>
        </w:rPr>
        <w:t>"</w:t>
      </w:r>
      <w:r w:rsidRPr="004C731D">
        <w:rPr>
          <w:rFonts w:asciiTheme="majorBidi" w:hAnsiTheme="majorBidi"/>
          <w:color w:val="000000"/>
          <w:sz w:val="24"/>
        </w:rPr>
        <w:t>informal sector</w:t>
      </w:r>
      <w:r w:rsidR="00DE372E">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This definition was generalized when the International Labor Organization (ILO), in 1972, </w:t>
      </w:r>
      <w:r w:rsidR="007F7867" w:rsidRPr="004C731D">
        <w:rPr>
          <w:rFonts w:asciiTheme="majorBidi" w:hAnsiTheme="majorBidi"/>
          <w:color w:val="000000"/>
          <w:sz w:val="24"/>
        </w:rPr>
        <w:t>analyzed</w:t>
      </w:r>
      <w:r w:rsidRPr="0016142F">
        <w:rPr>
          <w:rFonts w:asciiTheme="majorBidi" w:hAnsiTheme="majorBidi"/>
          <w:color w:val="000000"/>
          <w:sz w:val="24"/>
        </w:rPr>
        <w:t xml:space="preserve"> economic activities in Kenya that were neither registered nor protected the</w:t>
      </w:r>
      <w:r w:rsidRPr="00BE052D">
        <w:rPr>
          <w:rFonts w:asciiTheme="majorBidi" w:hAnsiTheme="majorBidi"/>
          <w:color w:val="000000"/>
          <w:sz w:val="24"/>
        </w:rPr>
        <w:t>re.</w:t>
      </w:r>
    </w:p>
    <w:p w14:paraId="055533F4" w14:textId="77777777" w:rsidR="001F767B" w:rsidRPr="00294B9C" w:rsidRDefault="001F767B" w:rsidP="00DE372E">
      <w:pPr>
        <w:spacing w:after="0" w:line="240" w:lineRule="auto"/>
        <w:jc w:val="both"/>
        <w:rPr>
          <w:rFonts w:asciiTheme="majorBidi" w:hAnsiTheme="majorBidi"/>
          <w:color w:val="000000"/>
          <w:sz w:val="24"/>
        </w:rPr>
      </w:pPr>
    </w:p>
    <w:p w14:paraId="586E098E" w14:textId="696737B3" w:rsidR="00D47512" w:rsidRDefault="00D47512" w:rsidP="006806EB">
      <w:pPr>
        <w:spacing w:after="0" w:line="240" w:lineRule="auto"/>
        <w:jc w:val="both"/>
        <w:rPr>
          <w:rFonts w:asciiTheme="majorBidi" w:hAnsiTheme="majorBidi"/>
          <w:color w:val="000000"/>
          <w:sz w:val="24"/>
        </w:rPr>
      </w:pPr>
      <w:r w:rsidRPr="004C731D">
        <w:rPr>
          <w:rFonts w:asciiTheme="majorBidi" w:hAnsiTheme="majorBidi"/>
          <w:color w:val="000000"/>
          <w:sz w:val="24"/>
        </w:rPr>
        <w:lastRenderedPageBreak/>
        <w:t>Since then, labor informality is one of the most sensitive variables to measure</w:t>
      </w:r>
      <w:r w:rsidR="00DE372E">
        <w:rPr>
          <w:rFonts w:asciiTheme="majorBidi" w:hAnsiTheme="majorBidi" w:cstheme="majorBidi"/>
          <w:color w:val="000000"/>
          <w:sz w:val="24"/>
          <w:szCs w:val="24"/>
        </w:rPr>
        <w:t>,</w:t>
      </w:r>
      <w:r w:rsidRPr="004C731D">
        <w:rPr>
          <w:rFonts w:asciiTheme="majorBidi" w:hAnsiTheme="majorBidi"/>
          <w:color w:val="000000"/>
          <w:sz w:val="24"/>
        </w:rPr>
        <w:t xml:space="preserve"> not only in Mexico but also in many other Latin American countries, since they face an informal sector of around 53% (ILO, 2018)</w:t>
      </w:r>
      <w:r w:rsidR="007F7867" w:rsidRPr="004C731D">
        <w:rPr>
          <w:rFonts w:asciiTheme="majorBidi" w:hAnsiTheme="majorBidi"/>
          <w:color w:val="000000"/>
          <w:sz w:val="24"/>
        </w:rPr>
        <w:t>,</w:t>
      </w:r>
      <w:r w:rsidRPr="0016142F">
        <w:rPr>
          <w:rFonts w:asciiTheme="majorBidi" w:hAnsiTheme="majorBidi"/>
          <w:color w:val="000000"/>
          <w:sz w:val="24"/>
        </w:rPr>
        <w:t xml:space="preserve"> and the challenge of quantifying it lies not only in the estimates but </w:t>
      </w:r>
      <w:r w:rsidR="0031056D">
        <w:rPr>
          <w:rFonts w:asciiTheme="majorBidi" w:hAnsiTheme="majorBidi"/>
          <w:color w:val="000000"/>
          <w:sz w:val="24"/>
        </w:rPr>
        <w:t>also</w:t>
      </w:r>
      <w:r w:rsidR="0031056D" w:rsidRPr="004C731D">
        <w:rPr>
          <w:rFonts w:asciiTheme="majorBidi" w:hAnsiTheme="majorBidi"/>
          <w:color w:val="000000"/>
          <w:sz w:val="24"/>
        </w:rPr>
        <w:t xml:space="preserve"> </w:t>
      </w:r>
      <w:r w:rsidRPr="004C731D">
        <w:rPr>
          <w:rFonts w:asciiTheme="majorBidi" w:hAnsiTheme="majorBidi"/>
          <w:color w:val="000000"/>
          <w:sz w:val="24"/>
        </w:rPr>
        <w:t>in achieving an unbiased definition of both the informal sector and informal employment</w:t>
      </w:r>
      <w:r w:rsidR="00DE372E">
        <w:rPr>
          <w:rFonts w:asciiTheme="majorBidi" w:hAnsiTheme="majorBidi" w:cstheme="majorBidi"/>
          <w:color w:val="000000"/>
          <w:sz w:val="24"/>
          <w:szCs w:val="24"/>
        </w:rPr>
        <w:t>.</w:t>
      </w:r>
      <w:r w:rsidRPr="000731B6">
        <w:rPr>
          <w:rFonts w:asciiTheme="majorBidi" w:hAnsiTheme="majorBidi" w:cstheme="majorBidi"/>
          <w:color w:val="000000"/>
          <w:sz w:val="24"/>
          <w:szCs w:val="24"/>
        </w:rPr>
        <w:t xml:space="preserve"> </w:t>
      </w:r>
      <w:r w:rsidR="00DE372E">
        <w:rPr>
          <w:rFonts w:asciiTheme="majorBidi" w:hAnsiTheme="majorBidi" w:cstheme="majorBidi"/>
          <w:color w:val="000000"/>
          <w:sz w:val="24"/>
          <w:szCs w:val="24"/>
        </w:rPr>
        <w:t>I</w:t>
      </w:r>
      <w:r w:rsidRPr="000731B6">
        <w:rPr>
          <w:rFonts w:asciiTheme="majorBidi" w:hAnsiTheme="majorBidi" w:cstheme="majorBidi"/>
          <w:color w:val="000000"/>
          <w:sz w:val="24"/>
          <w:szCs w:val="24"/>
        </w:rPr>
        <w:t>n</w:t>
      </w:r>
      <w:r w:rsidRPr="004C731D">
        <w:rPr>
          <w:rFonts w:asciiTheme="majorBidi" w:hAnsiTheme="majorBidi"/>
          <w:color w:val="000000"/>
          <w:sz w:val="24"/>
        </w:rPr>
        <w:t xml:space="preserve"> the following subsection</w:t>
      </w:r>
      <w:r w:rsidR="00DE372E">
        <w:rPr>
          <w:rFonts w:asciiTheme="majorBidi" w:hAnsiTheme="majorBidi" w:cstheme="majorBidi"/>
          <w:color w:val="000000"/>
          <w:sz w:val="24"/>
          <w:szCs w:val="24"/>
        </w:rPr>
        <w:t>,</w:t>
      </w:r>
      <w:r w:rsidRPr="004C731D">
        <w:rPr>
          <w:rFonts w:asciiTheme="majorBidi" w:hAnsiTheme="majorBidi"/>
          <w:color w:val="000000"/>
          <w:sz w:val="24"/>
        </w:rPr>
        <w:t xml:space="preserve"> we detail the definition to which we adhere in this study.</w:t>
      </w:r>
    </w:p>
    <w:p w14:paraId="37D0BF9F" w14:textId="77777777" w:rsidR="00BA3471" w:rsidRPr="00BE052D" w:rsidRDefault="00BA3471" w:rsidP="006806EB">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A3471" w14:paraId="04F1D118" w14:textId="77777777" w:rsidTr="00BA3471">
        <w:tc>
          <w:tcPr>
            <w:tcW w:w="8828" w:type="dxa"/>
          </w:tcPr>
          <w:p w14:paraId="639FCFBF" w14:textId="5F5185DB" w:rsidR="00BA3471" w:rsidRPr="00DB7DBB" w:rsidRDefault="00BA3471" w:rsidP="00BA3471">
            <w:pPr>
              <w:rPr>
                <w:rFonts w:asciiTheme="majorBidi" w:hAnsiTheme="majorBidi"/>
                <w:b/>
                <w:bCs/>
                <w:color w:val="000000"/>
                <w:sz w:val="20"/>
                <w:szCs w:val="18"/>
              </w:rPr>
            </w:pPr>
            <w:r w:rsidRPr="00DB7DBB">
              <w:rPr>
                <w:rFonts w:asciiTheme="majorBidi" w:hAnsiTheme="majorBidi"/>
                <w:b/>
                <w:bCs/>
                <w:color w:val="000000"/>
                <w:sz w:val="20"/>
                <w:szCs w:val="18"/>
              </w:rPr>
              <w:t xml:space="preserve">Table 1. Mexican labor market </w:t>
            </w:r>
            <w:r w:rsidR="00DB7DBB">
              <w:rPr>
                <w:rFonts w:asciiTheme="majorBidi" w:hAnsiTheme="majorBidi"/>
                <w:b/>
                <w:bCs/>
                <w:color w:val="000000"/>
                <w:sz w:val="20"/>
                <w:szCs w:val="18"/>
              </w:rPr>
              <w:t xml:space="preserve">segments, </w:t>
            </w:r>
            <w:r w:rsidRPr="00DB7DBB">
              <w:rPr>
                <w:rFonts w:asciiTheme="majorBidi" w:hAnsiTheme="majorBidi"/>
                <w:b/>
                <w:bCs/>
                <w:color w:val="000000"/>
                <w:sz w:val="20"/>
                <w:szCs w:val="18"/>
              </w:rPr>
              <w:t>before and during C</w:t>
            </w:r>
            <w:r w:rsidR="00F45FF4" w:rsidRPr="00DB7DBB">
              <w:rPr>
                <w:rFonts w:asciiTheme="majorBidi" w:hAnsiTheme="majorBidi"/>
                <w:b/>
                <w:bCs/>
                <w:color w:val="000000"/>
                <w:sz w:val="20"/>
                <w:szCs w:val="18"/>
              </w:rPr>
              <w:t>OVID</w:t>
            </w:r>
            <w:r w:rsidRPr="00DB7DBB">
              <w:rPr>
                <w:rFonts w:asciiTheme="majorBidi" w:hAnsiTheme="majorBidi"/>
                <w:b/>
                <w:bCs/>
                <w:color w:val="000000"/>
                <w:sz w:val="20"/>
                <w:szCs w:val="18"/>
              </w:rPr>
              <w:t>-19</w:t>
            </w:r>
          </w:p>
        </w:tc>
      </w:tr>
      <w:tr w:rsidR="00BA3471" w14:paraId="34551A9F" w14:textId="77777777" w:rsidTr="00BA3471">
        <w:tc>
          <w:tcPr>
            <w:tcW w:w="8828" w:type="dxa"/>
          </w:tcPr>
          <w:tbl>
            <w:tblPr>
              <w:tblW w:w="5140" w:type="dxa"/>
              <w:jc w:val="center"/>
              <w:tblCellMar>
                <w:left w:w="70" w:type="dxa"/>
                <w:right w:w="70" w:type="dxa"/>
              </w:tblCellMar>
              <w:tblLook w:val="04A0" w:firstRow="1" w:lastRow="0" w:firstColumn="1" w:lastColumn="0" w:noHBand="0" w:noVBand="1"/>
            </w:tblPr>
            <w:tblGrid>
              <w:gridCol w:w="1940"/>
              <w:gridCol w:w="1080"/>
              <w:gridCol w:w="1060"/>
              <w:gridCol w:w="1060"/>
            </w:tblGrid>
            <w:tr w:rsidR="00BA3471" w:rsidRPr="00BA3471" w14:paraId="245A7224"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7FEC8C95" w14:textId="77777777" w:rsidR="00BA3471" w:rsidRPr="000A2D40" w:rsidRDefault="00BA3471" w:rsidP="00BA3471">
                  <w:pPr>
                    <w:spacing w:after="0" w:line="240" w:lineRule="auto"/>
                    <w:jc w:val="both"/>
                    <w:rPr>
                      <w:rFonts w:ascii="Times New Roman" w:eastAsia="Times New Roman" w:hAnsi="Times New Roman" w:cs="Times New Roman"/>
                      <w:color w:val="000000"/>
                      <w:sz w:val="20"/>
                      <w:szCs w:val="20"/>
                      <w:lang w:eastAsia="es-MX"/>
                    </w:rPr>
                  </w:pPr>
                  <w:r w:rsidRPr="000A2D40">
                    <w:rPr>
                      <w:rFonts w:ascii="Times New Roman" w:eastAsia="Times New Roman" w:hAnsi="Times New Roman" w:cs="Times New Roman"/>
                      <w:color w:val="000000"/>
                      <w:sz w:val="20"/>
                      <w:szCs w:val="20"/>
                      <w:lang w:eastAsia="es-MX"/>
                    </w:rPr>
                    <w:t> </w:t>
                  </w:r>
                </w:p>
              </w:tc>
              <w:tc>
                <w:tcPr>
                  <w:tcW w:w="1080" w:type="dxa"/>
                  <w:tcBorders>
                    <w:top w:val="double" w:sz="6" w:space="0" w:color="auto"/>
                    <w:left w:val="nil"/>
                    <w:bottom w:val="double" w:sz="6" w:space="0" w:color="auto"/>
                    <w:right w:val="nil"/>
                  </w:tcBorders>
                  <w:shd w:val="clear" w:color="auto" w:fill="auto"/>
                  <w:vAlign w:val="center"/>
                  <w:hideMark/>
                </w:tcPr>
                <w:p w14:paraId="30DA1FB3"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2019</w:t>
                  </w:r>
                </w:p>
              </w:tc>
              <w:tc>
                <w:tcPr>
                  <w:tcW w:w="1060" w:type="dxa"/>
                  <w:tcBorders>
                    <w:top w:val="double" w:sz="6" w:space="0" w:color="auto"/>
                    <w:left w:val="nil"/>
                    <w:bottom w:val="double" w:sz="6" w:space="0" w:color="auto"/>
                    <w:right w:val="nil"/>
                  </w:tcBorders>
                  <w:shd w:val="clear" w:color="auto" w:fill="auto"/>
                  <w:vAlign w:val="center"/>
                  <w:hideMark/>
                </w:tcPr>
                <w:p w14:paraId="3AFEDB56"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2020</w:t>
                  </w:r>
                </w:p>
              </w:tc>
              <w:tc>
                <w:tcPr>
                  <w:tcW w:w="1060" w:type="dxa"/>
                  <w:tcBorders>
                    <w:top w:val="double" w:sz="6" w:space="0" w:color="auto"/>
                    <w:left w:val="nil"/>
                    <w:bottom w:val="double" w:sz="6" w:space="0" w:color="auto"/>
                    <w:right w:val="nil"/>
                  </w:tcBorders>
                  <w:shd w:val="clear" w:color="auto" w:fill="auto"/>
                  <w:vAlign w:val="center"/>
                  <w:hideMark/>
                </w:tcPr>
                <w:p w14:paraId="5E314CC1"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Difference</w:t>
                  </w:r>
                </w:p>
              </w:tc>
            </w:tr>
            <w:tr w:rsidR="00BA3471" w:rsidRPr="00BA3471" w14:paraId="031847B1"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3CD98361"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Men</w:t>
                  </w:r>
                </w:p>
              </w:tc>
              <w:tc>
                <w:tcPr>
                  <w:tcW w:w="1080" w:type="dxa"/>
                  <w:tcBorders>
                    <w:top w:val="nil"/>
                    <w:left w:val="nil"/>
                    <w:bottom w:val="nil"/>
                    <w:right w:val="nil"/>
                  </w:tcBorders>
                  <w:shd w:val="clear" w:color="auto" w:fill="auto"/>
                  <w:vAlign w:val="center"/>
                  <w:hideMark/>
                </w:tcPr>
                <w:p w14:paraId="7F91F1D5"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CF7712A"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c>
                <w:tcPr>
                  <w:tcW w:w="1060" w:type="dxa"/>
                  <w:tcBorders>
                    <w:top w:val="nil"/>
                    <w:left w:val="nil"/>
                    <w:bottom w:val="nil"/>
                    <w:right w:val="nil"/>
                  </w:tcBorders>
                  <w:shd w:val="clear" w:color="auto" w:fill="auto"/>
                  <w:vAlign w:val="center"/>
                  <w:hideMark/>
                </w:tcPr>
                <w:p w14:paraId="5BBD2A9A"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r>
            <w:tr w:rsidR="00BA3471" w:rsidRPr="00BA3471" w14:paraId="775429AC" w14:textId="77777777" w:rsidTr="00BA3471">
              <w:trPr>
                <w:trHeight w:val="300"/>
                <w:jc w:val="center"/>
              </w:trPr>
              <w:tc>
                <w:tcPr>
                  <w:tcW w:w="1940" w:type="dxa"/>
                  <w:tcBorders>
                    <w:top w:val="nil"/>
                    <w:left w:val="nil"/>
                    <w:bottom w:val="nil"/>
                    <w:right w:val="nil"/>
                  </w:tcBorders>
                  <w:shd w:val="clear" w:color="auto" w:fill="auto"/>
                  <w:vAlign w:val="center"/>
                  <w:hideMark/>
                </w:tcPr>
                <w:p w14:paraId="5582FA6F"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PEA</w:t>
                  </w:r>
                </w:p>
              </w:tc>
              <w:tc>
                <w:tcPr>
                  <w:tcW w:w="1080" w:type="dxa"/>
                  <w:tcBorders>
                    <w:top w:val="nil"/>
                    <w:left w:val="nil"/>
                    <w:bottom w:val="nil"/>
                    <w:right w:val="nil"/>
                  </w:tcBorders>
                  <w:shd w:val="clear" w:color="auto" w:fill="auto"/>
                  <w:vAlign w:val="center"/>
                  <w:hideMark/>
                </w:tcPr>
                <w:p w14:paraId="1CCE69D1"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58.06</w:t>
                  </w:r>
                </w:p>
              </w:tc>
              <w:tc>
                <w:tcPr>
                  <w:tcW w:w="1060" w:type="dxa"/>
                  <w:tcBorders>
                    <w:top w:val="nil"/>
                    <w:left w:val="nil"/>
                    <w:bottom w:val="nil"/>
                    <w:right w:val="nil"/>
                  </w:tcBorders>
                  <w:shd w:val="clear" w:color="auto" w:fill="auto"/>
                  <w:vAlign w:val="center"/>
                  <w:hideMark/>
                </w:tcPr>
                <w:p w14:paraId="35BE3A3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54.55</w:t>
                  </w:r>
                </w:p>
              </w:tc>
              <w:tc>
                <w:tcPr>
                  <w:tcW w:w="1060" w:type="dxa"/>
                  <w:tcBorders>
                    <w:top w:val="nil"/>
                    <w:left w:val="nil"/>
                    <w:bottom w:val="nil"/>
                    <w:right w:val="nil"/>
                  </w:tcBorders>
                  <w:shd w:val="clear" w:color="auto" w:fill="auto"/>
                  <w:vAlign w:val="center"/>
                  <w:hideMark/>
                </w:tcPr>
                <w:p w14:paraId="5DCC07C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-3.51</w:t>
                  </w:r>
                </w:p>
              </w:tc>
            </w:tr>
            <w:tr w:rsidR="00BA3471" w:rsidRPr="00BA3471" w14:paraId="739DB1DF" w14:textId="77777777" w:rsidTr="00BA3471">
              <w:trPr>
                <w:trHeight w:val="290"/>
                <w:jc w:val="center"/>
              </w:trPr>
              <w:tc>
                <w:tcPr>
                  <w:tcW w:w="1940" w:type="dxa"/>
                  <w:tcBorders>
                    <w:top w:val="nil"/>
                    <w:left w:val="nil"/>
                    <w:bottom w:val="nil"/>
                    <w:right w:val="nil"/>
                  </w:tcBorders>
                  <w:shd w:val="clear" w:color="auto" w:fill="auto"/>
                  <w:vAlign w:val="center"/>
                  <w:hideMark/>
                </w:tcPr>
                <w:p w14:paraId="72CFA265"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Formal employment</w:t>
                  </w:r>
                </w:p>
              </w:tc>
              <w:tc>
                <w:tcPr>
                  <w:tcW w:w="1080" w:type="dxa"/>
                  <w:tcBorders>
                    <w:top w:val="nil"/>
                    <w:left w:val="nil"/>
                    <w:bottom w:val="nil"/>
                    <w:right w:val="nil"/>
                  </w:tcBorders>
                  <w:shd w:val="clear" w:color="auto" w:fill="auto"/>
                  <w:vAlign w:val="center"/>
                  <w:hideMark/>
                </w:tcPr>
                <w:p w14:paraId="2295E0B9"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34.63</w:t>
                  </w:r>
                </w:p>
              </w:tc>
              <w:tc>
                <w:tcPr>
                  <w:tcW w:w="1060" w:type="dxa"/>
                  <w:tcBorders>
                    <w:top w:val="nil"/>
                    <w:left w:val="nil"/>
                    <w:bottom w:val="nil"/>
                    <w:right w:val="nil"/>
                  </w:tcBorders>
                  <w:shd w:val="clear" w:color="auto" w:fill="auto"/>
                  <w:vAlign w:val="center"/>
                  <w:hideMark/>
                </w:tcPr>
                <w:p w14:paraId="6ADADF90"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35.16</w:t>
                  </w:r>
                </w:p>
              </w:tc>
              <w:tc>
                <w:tcPr>
                  <w:tcW w:w="1060" w:type="dxa"/>
                  <w:tcBorders>
                    <w:top w:val="nil"/>
                    <w:left w:val="nil"/>
                    <w:bottom w:val="nil"/>
                    <w:right w:val="nil"/>
                  </w:tcBorders>
                  <w:shd w:val="clear" w:color="auto" w:fill="auto"/>
                  <w:vAlign w:val="center"/>
                  <w:hideMark/>
                </w:tcPr>
                <w:p w14:paraId="69BF86A7"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p>
              </w:tc>
            </w:tr>
            <w:tr w:rsidR="00BA3471" w:rsidRPr="00BA3471" w14:paraId="7C605799" w14:textId="77777777" w:rsidTr="00BA3471">
              <w:trPr>
                <w:trHeight w:val="300"/>
                <w:jc w:val="center"/>
              </w:trPr>
              <w:tc>
                <w:tcPr>
                  <w:tcW w:w="1940" w:type="dxa"/>
                  <w:tcBorders>
                    <w:top w:val="nil"/>
                    <w:left w:val="nil"/>
                    <w:bottom w:val="double" w:sz="6" w:space="0" w:color="auto"/>
                    <w:right w:val="nil"/>
                  </w:tcBorders>
                  <w:shd w:val="clear" w:color="auto" w:fill="auto"/>
                  <w:vAlign w:val="center"/>
                  <w:hideMark/>
                </w:tcPr>
                <w:p w14:paraId="03BDA5DC"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Informal employment</w:t>
                  </w:r>
                </w:p>
              </w:tc>
              <w:tc>
                <w:tcPr>
                  <w:tcW w:w="1080" w:type="dxa"/>
                  <w:tcBorders>
                    <w:top w:val="nil"/>
                    <w:left w:val="nil"/>
                    <w:bottom w:val="nil"/>
                    <w:right w:val="nil"/>
                  </w:tcBorders>
                  <w:shd w:val="clear" w:color="auto" w:fill="auto"/>
                  <w:vAlign w:val="center"/>
                  <w:hideMark/>
                </w:tcPr>
                <w:p w14:paraId="1D90A77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65.37</w:t>
                  </w:r>
                </w:p>
              </w:tc>
              <w:tc>
                <w:tcPr>
                  <w:tcW w:w="1060" w:type="dxa"/>
                  <w:tcBorders>
                    <w:top w:val="nil"/>
                    <w:left w:val="nil"/>
                    <w:bottom w:val="nil"/>
                    <w:right w:val="nil"/>
                  </w:tcBorders>
                  <w:shd w:val="clear" w:color="auto" w:fill="auto"/>
                  <w:vAlign w:val="center"/>
                  <w:hideMark/>
                </w:tcPr>
                <w:p w14:paraId="5176339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64.84</w:t>
                  </w:r>
                </w:p>
              </w:tc>
              <w:tc>
                <w:tcPr>
                  <w:tcW w:w="1060" w:type="dxa"/>
                  <w:tcBorders>
                    <w:top w:val="nil"/>
                    <w:left w:val="nil"/>
                    <w:bottom w:val="nil"/>
                    <w:right w:val="nil"/>
                  </w:tcBorders>
                  <w:shd w:val="clear" w:color="auto" w:fill="auto"/>
                  <w:vAlign w:val="center"/>
                  <w:hideMark/>
                </w:tcPr>
                <w:p w14:paraId="3EA5DEC7"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p>
              </w:tc>
            </w:tr>
            <w:tr w:rsidR="00BA3471" w:rsidRPr="00BA3471" w14:paraId="5C701A98" w14:textId="77777777" w:rsidTr="00BA3471">
              <w:trPr>
                <w:trHeight w:val="310"/>
                <w:jc w:val="center"/>
              </w:trPr>
              <w:tc>
                <w:tcPr>
                  <w:tcW w:w="1940" w:type="dxa"/>
                  <w:tcBorders>
                    <w:top w:val="nil"/>
                    <w:left w:val="nil"/>
                    <w:bottom w:val="double" w:sz="6" w:space="0" w:color="auto"/>
                    <w:right w:val="nil"/>
                  </w:tcBorders>
                  <w:shd w:val="clear" w:color="auto" w:fill="auto"/>
                  <w:vAlign w:val="center"/>
                  <w:hideMark/>
                </w:tcPr>
                <w:p w14:paraId="170D8A96"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r w:rsidRPr="00BA3471">
                    <w:rPr>
                      <w:rFonts w:ascii="Times New Roman" w:eastAsia="Times New Roman" w:hAnsi="Times New Roman" w:cs="Times New Roman"/>
                      <w:b/>
                      <w:bCs/>
                      <w:color w:val="000000"/>
                      <w:sz w:val="20"/>
                      <w:szCs w:val="20"/>
                      <w:lang w:val="es-MX" w:eastAsia="es-MX"/>
                    </w:rPr>
                    <w:t>Women</w:t>
                  </w:r>
                </w:p>
              </w:tc>
              <w:tc>
                <w:tcPr>
                  <w:tcW w:w="1080" w:type="dxa"/>
                  <w:tcBorders>
                    <w:top w:val="nil"/>
                    <w:left w:val="nil"/>
                    <w:bottom w:val="nil"/>
                    <w:right w:val="nil"/>
                  </w:tcBorders>
                  <w:shd w:val="clear" w:color="auto" w:fill="auto"/>
                  <w:vAlign w:val="center"/>
                  <w:hideMark/>
                </w:tcPr>
                <w:p w14:paraId="7D8A55A9" w14:textId="77777777" w:rsidR="00BA3471" w:rsidRPr="00BA3471" w:rsidRDefault="00BA3471" w:rsidP="00BA3471">
                  <w:pPr>
                    <w:spacing w:after="0" w:line="240" w:lineRule="auto"/>
                    <w:jc w:val="center"/>
                    <w:rPr>
                      <w:rFonts w:ascii="Times New Roman" w:eastAsia="Times New Roman" w:hAnsi="Times New Roman" w:cs="Times New Roman"/>
                      <w:b/>
                      <w:bCs/>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3F0524F0"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c>
                <w:tcPr>
                  <w:tcW w:w="1060" w:type="dxa"/>
                  <w:tcBorders>
                    <w:top w:val="nil"/>
                    <w:left w:val="nil"/>
                    <w:bottom w:val="nil"/>
                    <w:right w:val="nil"/>
                  </w:tcBorders>
                  <w:shd w:val="clear" w:color="auto" w:fill="auto"/>
                  <w:vAlign w:val="center"/>
                  <w:hideMark/>
                </w:tcPr>
                <w:p w14:paraId="4366DE6F" w14:textId="77777777" w:rsidR="00BA3471" w:rsidRPr="00BA3471" w:rsidRDefault="00BA3471" w:rsidP="00BA3471">
                  <w:pPr>
                    <w:spacing w:after="0" w:line="240" w:lineRule="auto"/>
                    <w:jc w:val="both"/>
                    <w:rPr>
                      <w:rFonts w:ascii="Times New Roman" w:eastAsia="Times New Roman" w:hAnsi="Times New Roman" w:cs="Times New Roman"/>
                      <w:sz w:val="20"/>
                      <w:szCs w:val="20"/>
                      <w:lang w:val="es-MX" w:eastAsia="es-MX"/>
                    </w:rPr>
                  </w:pPr>
                </w:p>
              </w:tc>
            </w:tr>
            <w:tr w:rsidR="00BA3471" w:rsidRPr="00BA3471" w14:paraId="1C7613D7" w14:textId="77777777" w:rsidTr="00BA3471">
              <w:trPr>
                <w:trHeight w:val="300"/>
                <w:jc w:val="center"/>
              </w:trPr>
              <w:tc>
                <w:tcPr>
                  <w:tcW w:w="1940" w:type="dxa"/>
                  <w:tcBorders>
                    <w:top w:val="nil"/>
                    <w:left w:val="nil"/>
                    <w:bottom w:val="nil"/>
                    <w:right w:val="nil"/>
                  </w:tcBorders>
                  <w:shd w:val="clear" w:color="auto" w:fill="auto"/>
                  <w:vAlign w:val="center"/>
                  <w:hideMark/>
                </w:tcPr>
                <w:p w14:paraId="53B923F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PEA</w:t>
                  </w:r>
                </w:p>
              </w:tc>
              <w:tc>
                <w:tcPr>
                  <w:tcW w:w="1080" w:type="dxa"/>
                  <w:tcBorders>
                    <w:top w:val="nil"/>
                    <w:left w:val="nil"/>
                    <w:bottom w:val="nil"/>
                    <w:right w:val="nil"/>
                  </w:tcBorders>
                  <w:shd w:val="clear" w:color="auto" w:fill="auto"/>
                  <w:vAlign w:val="center"/>
                  <w:hideMark/>
                </w:tcPr>
                <w:p w14:paraId="00A69AE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34.58</w:t>
                  </w:r>
                </w:p>
              </w:tc>
              <w:tc>
                <w:tcPr>
                  <w:tcW w:w="1060" w:type="dxa"/>
                  <w:tcBorders>
                    <w:top w:val="nil"/>
                    <w:left w:val="nil"/>
                    <w:bottom w:val="nil"/>
                    <w:right w:val="nil"/>
                  </w:tcBorders>
                  <w:shd w:val="clear" w:color="auto" w:fill="auto"/>
                  <w:vAlign w:val="center"/>
                  <w:hideMark/>
                </w:tcPr>
                <w:p w14:paraId="129111F2"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31.24</w:t>
                  </w:r>
                </w:p>
              </w:tc>
              <w:tc>
                <w:tcPr>
                  <w:tcW w:w="1060" w:type="dxa"/>
                  <w:tcBorders>
                    <w:top w:val="nil"/>
                    <w:left w:val="nil"/>
                    <w:bottom w:val="nil"/>
                    <w:right w:val="nil"/>
                  </w:tcBorders>
                  <w:shd w:val="clear" w:color="auto" w:fill="auto"/>
                  <w:vAlign w:val="center"/>
                  <w:hideMark/>
                </w:tcPr>
                <w:p w14:paraId="626A20B8"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-3.34</w:t>
                  </w:r>
                </w:p>
              </w:tc>
            </w:tr>
            <w:tr w:rsidR="00BA3471" w:rsidRPr="00BA3471" w14:paraId="69A5024E" w14:textId="77777777" w:rsidTr="00BA3471">
              <w:trPr>
                <w:trHeight w:val="290"/>
                <w:jc w:val="center"/>
              </w:trPr>
              <w:tc>
                <w:tcPr>
                  <w:tcW w:w="1940" w:type="dxa"/>
                  <w:tcBorders>
                    <w:top w:val="nil"/>
                    <w:left w:val="nil"/>
                    <w:bottom w:val="nil"/>
                    <w:right w:val="nil"/>
                  </w:tcBorders>
                  <w:shd w:val="clear" w:color="auto" w:fill="auto"/>
                  <w:vAlign w:val="center"/>
                  <w:hideMark/>
                </w:tcPr>
                <w:p w14:paraId="78E3EAE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Formal employment</w:t>
                  </w:r>
                </w:p>
              </w:tc>
              <w:tc>
                <w:tcPr>
                  <w:tcW w:w="1080" w:type="dxa"/>
                  <w:tcBorders>
                    <w:top w:val="nil"/>
                    <w:left w:val="nil"/>
                    <w:bottom w:val="nil"/>
                    <w:right w:val="nil"/>
                  </w:tcBorders>
                  <w:shd w:val="clear" w:color="auto" w:fill="auto"/>
                  <w:vAlign w:val="center"/>
                  <w:hideMark/>
                </w:tcPr>
                <w:p w14:paraId="5AB8A5C5"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35.49</w:t>
                  </w:r>
                </w:p>
              </w:tc>
              <w:tc>
                <w:tcPr>
                  <w:tcW w:w="1060" w:type="dxa"/>
                  <w:tcBorders>
                    <w:top w:val="nil"/>
                    <w:left w:val="nil"/>
                    <w:bottom w:val="nil"/>
                    <w:right w:val="nil"/>
                  </w:tcBorders>
                  <w:shd w:val="clear" w:color="auto" w:fill="auto"/>
                  <w:vAlign w:val="center"/>
                  <w:hideMark/>
                </w:tcPr>
                <w:p w14:paraId="78BC5366"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39.93</w:t>
                  </w:r>
                </w:p>
              </w:tc>
              <w:tc>
                <w:tcPr>
                  <w:tcW w:w="1060" w:type="dxa"/>
                  <w:tcBorders>
                    <w:top w:val="nil"/>
                    <w:left w:val="nil"/>
                    <w:bottom w:val="nil"/>
                    <w:right w:val="nil"/>
                  </w:tcBorders>
                  <w:shd w:val="clear" w:color="auto" w:fill="auto"/>
                  <w:vAlign w:val="center"/>
                  <w:hideMark/>
                </w:tcPr>
                <w:p w14:paraId="6BD87247"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p>
              </w:tc>
            </w:tr>
            <w:tr w:rsidR="00BA3471" w:rsidRPr="00BA3471" w14:paraId="68A013D2" w14:textId="77777777" w:rsidTr="00BA3471">
              <w:trPr>
                <w:trHeight w:val="300"/>
                <w:jc w:val="center"/>
              </w:trPr>
              <w:tc>
                <w:tcPr>
                  <w:tcW w:w="1940" w:type="dxa"/>
                  <w:tcBorders>
                    <w:top w:val="nil"/>
                    <w:left w:val="nil"/>
                    <w:bottom w:val="double" w:sz="6" w:space="0" w:color="auto"/>
                    <w:right w:val="nil"/>
                  </w:tcBorders>
                  <w:shd w:val="clear" w:color="auto" w:fill="auto"/>
                  <w:vAlign w:val="center"/>
                  <w:hideMark/>
                </w:tcPr>
                <w:p w14:paraId="7A56558E" w14:textId="77777777" w:rsidR="00BA3471" w:rsidRPr="00BA3471" w:rsidRDefault="00BA3471" w:rsidP="00BA3471">
                  <w:pPr>
                    <w:spacing w:after="0" w:line="240" w:lineRule="auto"/>
                    <w:jc w:val="both"/>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Informal employment</w:t>
                  </w:r>
                </w:p>
              </w:tc>
              <w:tc>
                <w:tcPr>
                  <w:tcW w:w="1080" w:type="dxa"/>
                  <w:tcBorders>
                    <w:top w:val="nil"/>
                    <w:left w:val="nil"/>
                    <w:bottom w:val="double" w:sz="6" w:space="0" w:color="auto"/>
                    <w:right w:val="nil"/>
                  </w:tcBorders>
                  <w:shd w:val="clear" w:color="auto" w:fill="auto"/>
                  <w:vAlign w:val="center"/>
                  <w:hideMark/>
                </w:tcPr>
                <w:p w14:paraId="5D1D2604"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64.51</w:t>
                  </w:r>
                </w:p>
              </w:tc>
              <w:tc>
                <w:tcPr>
                  <w:tcW w:w="1060" w:type="dxa"/>
                  <w:tcBorders>
                    <w:top w:val="nil"/>
                    <w:left w:val="nil"/>
                    <w:bottom w:val="double" w:sz="6" w:space="0" w:color="auto"/>
                    <w:right w:val="nil"/>
                  </w:tcBorders>
                  <w:shd w:val="clear" w:color="auto" w:fill="auto"/>
                  <w:vAlign w:val="center"/>
                  <w:hideMark/>
                </w:tcPr>
                <w:p w14:paraId="424843FD"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60.07</w:t>
                  </w:r>
                </w:p>
              </w:tc>
              <w:tc>
                <w:tcPr>
                  <w:tcW w:w="1060" w:type="dxa"/>
                  <w:tcBorders>
                    <w:top w:val="nil"/>
                    <w:left w:val="nil"/>
                    <w:bottom w:val="double" w:sz="6" w:space="0" w:color="auto"/>
                    <w:right w:val="nil"/>
                  </w:tcBorders>
                  <w:shd w:val="clear" w:color="auto" w:fill="auto"/>
                  <w:vAlign w:val="center"/>
                  <w:hideMark/>
                </w:tcPr>
                <w:p w14:paraId="69652743" w14:textId="77777777" w:rsidR="00BA3471" w:rsidRPr="00BA3471" w:rsidRDefault="00BA3471" w:rsidP="00BA3471">
                  <w:pPr>
                    <w:spacing w:after="0" w:line="240" w:lineRule="auto"/>
                    <w:jc w:val="right"/>
                    <w:rPr>
                      <w:rFonts w:ascii="Times New Roman" w:eastAsia="Times New Roman" w:hAnsi="Times New Roman" w:cs="Times New Roman"/>
                      <w:color w:val="000000"/>
                      <w:sz w:val="20"/>
                      <w:szCs w:val="20"/>
                      <w:lang w:val="es-MX" w:eastAsia="es-MX"/>
                    </w:rPr>
                  </w:pPr>
                  <w:r w:rsidRPr="00BA3471">
                    <w:rPr>
                      <w:rFonts w:ascii="Times New Roman" w:eastAsia="Times New Roman" w:hAnsi="Times New Roman" w:cs="Times New Roman"/>
                      <w:color w:val="000000"/>
                      <w:sz w:val="20"/>
                      <w:szCs w:val="20"/>
                      <w:lang w:val="es-MX" w:eastAsia="es-MX"/>
                    </w:rPr>
                    <w:t> </w:t>
                  </w:r>
                </w:p>
              </w:tc>
            </w:tr>
          </w:tbl>
          <w:p w14:paraId="4BEF3F1D" w14:textId="77777777" w:rsidR="00BA3471" w:rsidRDefault="00BA3471" w:rsidP="00BA3471">
            <w:pPr>
              <w:rPr>
                <w:rFonts w:asciiTheme="majorBidi" w:hAnsiTheme="majorBidi"/>
                <w:color w:val="000000"/>
                <w:sz w:val="24"/>
              </w:rPr>
            </w:pPr>
          </w:p>
        </w:tc>
      </w:tr>
      <w:tr w:rsidR="00BA3471" w14:paraId="374B2999" w14:textId="77777777" w:rsidTr="00BA3471">
        <w:tc>
          <w:tcPr>
            <w:tcW w:w="8828" w:type="dxa"/>
          </w:tcPr>
          <w:p w14:paraId="4412D04D" w14:textId="77777777" w:rsidR="00BA3471" w:rsidRPr="00BA3471" w:rsidRDefault="00BA3471" w:rsidP="00BA3471">
            <w:pPr>
              <w:rPr>
                <w:rFonts w:asciiTheme="majorBidi" w:hAnsiTheme="majorBidi"/>
                <w:i/>
                <w:iCs/>
                <w:color w:val="000000"/>
                <w:sz w:val="20"/>
                <w:szCs w:val="18"/>
              </w:rPr>
            </w:pPr>
            <w:r w:rsidRPr="00BA3471">
              <w:rPr>
                <w:rFonts w:asciiTheme="majorBidi" w:hAnsiTheme="majorBidi"/>
                <w:i/>
                <w:iCs/>
                <w:color w:val="000000"/>
                <w:sz w:val="20"/>
                <w:szCs w:val="18"/>
              </w:rPr>
              <w:t>Source: Own estimation with ENOE data (2019 and 2020).</w:t>
            </w:r>
          </w:p>
          <w:p w14:paraId="3FEB0C7F" w14:textId="377AE60F" w:rsidR="00BA3471" w:rsidRDefault="00BA3471" w:rsidP="00BA3471">
            <w:pPr>
              <w:rPr>
                <w:rFonts w:asciiTheme="majorBidi" w:hAnsiTheme="majorBidi"/>
                <w:color w:val="000000"/>
                <w:sz w:val="24"/>
              </w:rPr>
            </w:pPr>
            <w:r w:rsidRPr="00BA3471">
              <w:rPr>
                <w:rFonts w:asciiTheme="majorBidi" w:hAnsiTheme="majorBidi"/>
                <w:i/>
                <w:iCs/>
                <w:color w:val="000000"/>
                <w:sz w:val="20"/>
                <w:szCs w:val="18"/>
              </w:rPr>
              <w:t xml:space="preserve">Notes: the values expressed in percentages. The data presented is for </w:t>
            </w:r>
            <w:r w:rsidR="00DA19CF">
              <w:rPr>
                <w:rFonts w:asciiTheme="majorBidi" w:hAnsiTheme="majorBidi"/>
                <w:i/>
                <w:iCs/>
                <w:color w:val="000000"/>
                <w:sz w:val="20"/>
                <w:szCs w:val="18"/>
              </w:rPr>
              <w:t xml:space="preserve">the </w:t>
            </w:r>
            <w:r w:rsidRPr="00BA3471">
              <w:rPr>
                <w:rFonts w:asciiTheme="majorBidi" w:hAnsiTheme="majorBidi"/>
                <w:i/>
                <w:iCs/>
                <w:color w:val="000000"/>
                <w:sz w:val="20"/>
                <w:szCs w:val="18"/>
              </w:rPr>
              <w:t>third quarter of each year.</w:t>
            </w:r>
          </w:p>
        </w:tc>
      </w:tr>
    </w:tbl>
    <w:p w14:paraId="1501688C" w14:textId="77777777" w:rsidR="008D3903" w:rsidRPr="00BE052D" w:rsidRDefault="008D3903" w:rsidP="00EE5973">
      <w:pPr>
        <w:spacing w:after="0" w:line="240" w:lineRule="auto"/>
        <w:jc w:val="center"/>
        <w:rPr>
          <w:rFonts w:asciiTheme="majorBidi" w:hAnsiTheme="majorBidi"/>
          <w:color w:val="000000"/>
          <w:sz w:val="24"/>
        </w:rPr>
      </w:pPr>
    </w:p>
    <w:p w14:paraId="243DDD40" w14:textId="3DEF49CA" w:rsidR="00D47512" w:rsidRPr="00AA1CA4" w:rsidRDefault="00D47512"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Table </w:t>
      </w:r>
      <w:r w:rsidR="00BF48DE">
        <w:rPr>
          <w:rFonts w:asciiTheme="majorBidi" w:hAnsiTheme="majorBidi"/>
          <w:color w:val="000000"/>
          <w:sz w:val="24"/>
        </w:rPr>
        <w:t>1</w:t>
      </w:r>
      <w:r w:rsidRPr="00BE052D">
        <w:rPr>
          <w:rFonts w:asciiTheme="majorBidi" w:hAnsiTheme="majorBidi"/>
          <w:color w:val="000000"/>
          <w:sz w:val="24"/>
        </w:rPr>
        <w:t xml:space="preserve"> presents data</w:t>
      </w:r>
      <w:r w:rsidRPr="00AA1CA4">
        <w:rPr>
          <w:rFonts w:asciiTheme="majorBidi" w:hAnsiTheme="majorBidi"/>
          <w:color w:val="000000"/>
          <w:sz w:val="24"/>
        </w:rPr>
        <w:t xml:space="preserve"> on the differentiated situation between employment structure and gender before and during</w:t>
      </w:r>
      <w:r w:rsidR="007F486E" w:rsidRPr="00AA1CA4">
        <w:rPr>
          <w:rFonts w:asciiTheme="majorBidi" w:hAnsiTheme="majorBidi"/>
          <w:color w:val="000000"/>
          <w:sz w:val="24"/>
        </w:rPr>
        <w:t xml:space="preserve"> </w:t>
      </w:r>
      <w:r w:rsidR="007F486E">
        <w:rPr>
          <w:rFonts w:asciiTheme="majorBidi" w:hAnsiTheme="majorBidi"/>
          <w:color w:val="000000"/>
          <w:sz w:val="24"/>
        </w:rPr>
        <w:t>the</w:t>
      </w:r>
      <w:r w:rsidRPr="00294B9C">
        <w:rPr>
          <w:rFonts w:asciiTheme="majorBidi" w:hAnsiTheme="majorBidi"/>
          <w:color w:val="000000"/>
          <w:sz w:val="24"/>
        </w:rPr>
        <w:t xml:space="preserve"> </w:t>
      </w:r>
      <w:r w:rsidR="00185D4A" w:rsidRPr="004C731D">
        <w:rPr>
          <w:rFonts w:asciiTheme="majorBidi" w:hAnsiTheme="majorBidi"/>
          <w:color w:val="000000"/>
          <w:sz w:val="24"/>
        </w:rPr>
        <w:t>COVID</w:t>
      </w:r>
      <w:r w:rsidRPr="004C731D">
        <w:rPr>
          <w:rFonts w:asciiTheme="majorBidi" w:hAnsiTheme="majorBidi"/>
          <w:color w:val="000000"/>
          <w:sz w:val="24"/>
        </w:rPr>
        <w:t>-19</w:t>
      </w:r>
      <w:r w:rsidR="007F486E">
        <w:rPr>
          <w:rFonts w:asciiTheme="majorBidi" w:hAnsiTheme="majorBidi"/>
          <w:color w:val="000000"/>
          <w:sz w:val="24"/>
        </w:rPr>
        <w:t xml:space="preserve"> pandemic</w:t>
      </w:r>
      <w:r w:rsidRPr="004C731D">
        <w:rPr>
          <w:rFonts w:asciiTheme="majorBidi" w:hAnsiTheme="majorBidi"/>
          <w:color w:val="000000"/>
          <w:sz w:val="24"/>
        </w:rPr>
        <w:t xml:space="preserve">. In both genders, the </w:t>
      </w:r>
      <w:r w:rsidR="007F2EFE" w:rsidRPr="004C731D">
        <w:rPr>
          <w:rFonts w:asciiTheme="majorBidi" w:hAnsiTheme="majorBidi"/>
          <w:color w:val="000000"/>
          <w:sz w:val="24"/>
        </w:rPr>
        <w:t>e</w:t>
      </w:r>
      <w:r w:rsidRPr="0016142F">
        <w:rPr>
          <w:rFonts w:asciiTheme="majorBidi" w:hAnsiTheme="majorBidi"/>
          <w:color w:val="000000"/>
          <w:sz w:val="24"/>
        </w:rPr>
        <w:t xml:space="preserve">conomically </w:t>
      </w:r>
      <w:r w:rsidR="007F2EFE" w:rsidRPr="0016142F">
        <w:rPr>
          <w:rFonts w:asciiTheme="majorBidi" w:hAnsiTheme="majorBidi"/>
          <w:color w:val="000000"/>
          <w:sz w:val="24"/>
        </w:rPr>
        <w:t>a</w:t>
      </w:r>
      <w:r w:rsidRPr="0016142F">
        <w:rPr>
          <w:rFonts w:asciiTheme="majorBidi" w:hAnsiTheme="majorBidi"/>
          <w:color w:val="000000"/>
          <w:sz w:val="24"/>
        </w:rPr>
        <w:t xml:space="preserve">ctive </w:t>
      </w:r>
      <w:r w:rsidR="007F2EFE" w:rsidRPr="00BE052D">
        <w:rPr>
          <w:rFonts w:asciiTheme="majorBidi" w:hAnsiTheme="majorBidi"/>
          <w:color w:val="000000"/>
          <w:sz w:val="24"/>
        </w:rPr>
        <w:t>p</w:t>
      </w:r>
      <w:r w:rsidRPr="00BE052D">
        <w:rPr>
          <w:rFonts w:asciiTheme="majorBidi" w:hAnsiTheme="majorBidi"/>
          <w:color w:val="000000"/>
          <w:sz w:val="24"/>
        </w:rPr>
        <w:t xml:space="preserve">opulation </w:t>
      </w:r>
      <w:r w:rsidR="000731B6" w:rsidRPr="00AA1CA4">
        <w:rPr>
          <w:rFonts w:asciiTheme="majorBidi" w:hAnsiTheme="majorBidi"/>
          <w:color w:val="000000"/>
          <w:sz w:val="24"/>
        </w:rPr>
        <w:t xml:space="preserve">(PEA) </w:t>
      </w:r>
      <w:r w:rsidRPr="00AA1CA4">
        <w:rPr>
          <w:rFonts w:asciiTheme="majorBidi" w:hAnsiTheme="majorBidi"/>
          <w:color w:val="000000"/>
          <w:sz w:val="24"/>
        </w:rPr>
        <w:t>decreased by 3</w:t>
      </w:r>
      <w:r w:rsidR="001935A3" w:rsidRPr="00AA1CA4">
        <w:rPr>
          <w:rFonts w:asciiTheme="majorBidi" w:hAnsiTheme="majorBidi"/>
          <w:color w:val="000000"/>
          <w:sz w:val="24"/>
        </w:rPr>
        <w:t xml:space="preserve"> to </w:t>
      </w:r>
      <w:r w:rsidRPr="00AA1CA4">
        <w:rPr>
          <w:rFonts w:asciiTheme="majorBidi" w:hAnsiTheme="majorBidi"/>
          <w:color w:val="000000"/>
          <w:sz w:val="24"/>
        </w:rPr>
        <w:t xml:space="preserve">4%, with a </w:t>
      </w:r>
      <w:r w:rsidR="00317BF0">
        <w:rPr>
          <w:rFonts w:asciiTheme="majorBidi" w:hAnsiTheme="majorBidi"/>
          <w:color w:val="000000"/>
          <w:sz w:val="24"/>
        </w:rPr>
        <w:t>more significant</w:t>
      </w:r>
      <w:r w:rsidRPr="00AA1CA4">
        <w:rPr>
          <w:rFonts w:asciiTheme="majorBidi" w:hAnsiTheme="majorBidi"/>
          <w:color w:val="000000"/>
          <w:sz w:val="24"/>
        </w:rPr>
        <w:t xml:space="preserve"> proportion for men. </w:t>
      </w:r>
      <w:r w:rsidR="007F7867" w:rsidRPr="00AA1CA4">
        <w:rPr>
          <w:rFonts w:asciiTheme="majorBidi" w:hAnsiTheme="majorBidi"/>
          <w:color w:val="000000"/>
          <w:sz w:val="24"/>
        </w:rPr>
        <w:t>Concerning</w:t>
      </w:r>
      <w:r w:rsidRPr="00147E97">
        <w:rPr>
          <w:rFonts w:asciiTheme="majorBidi" w:hAnsiTheme="majorBidi"/>
          <w:color w:val="000000"/>
          <w:sz w:val="24"/>
        </w:rPr>
        <w:t xml:space="preserve"> its structure, i</w:t>
      </w:r>
      <w:r w:rsidRPr="00294B9C">
        <w:rPr>
          <w:rFonts w:asciiTheme="majorBidi" w:hAnsiTheme="majorBidi"/>
          <w:color w:val="000000"/>
          <w:sz w:val="24"/>
        </w:rPr>
        <w:t>t can be observed that informal employment was more affected since there was a decrease of 0.53% for men and -4.44% for women,</w:t>
      </w:r>
      <w:r w:rsidR="00DE372E" w:rsidRPr="00294B9C">
        <w:rPr>
          <w:rFonts w:asciiTheme="majorBidi" w:hAnsiTheme="majorBidi"/>
          <w:color w:val="000000"/>
          <w:sz w:val="24"/>
        </w:rPr>
        <w:t xml:space="preserve"> </w:t>
      </w:r>
      <w:r w:rsidR="00DE372E">
        <w:rPr>
          <w:rFonts w:asciiTheme="majorBidi" w:hAnsiTheme="majorBidi" w:cstheme="majorBidi"/>
          <w:color w:val="000000"/>
          <w:sz w:val="24"/>
          <w:szCs w:val="24"/>
        </w:rPr>
        <w:t>and</w:t>
      </w:r>
      <w:r w:rsidRPr="00D47512">
        <w:rPr>
          <w:rFonts w:asciiTheme="majorBidi" w:hAnsiTheme="majorBidi" w:cstheme="majorBidi"/>
          <w:color w:val="000000"/>
          <w:sz w:val="24"/>
          <w:szCs w:val="24"/>
        </w:rPr>
        <w:t xml:space="preserve"> </w:t>
      </w:r>
      <w:r w:rsidRPr="004C731D">
        <w:rPr>
          <w:rFonts w:asciiTheme="majorBidi" w:hAnsiTheme="majorBidi"/>
          <w:color w:val="000000"/>
          <w:sz w:val="24"/>
        </w:rPr>
        <w:t xml:space="preserve">these losses </w:t>
      </w:r>
      <w:r w:rsidR="007F7867">
        <w:rPr>
          <w:rFonts w:asciiTheme="majorBidi" w:hAnsiTheme="majorBidi" w:cstheme="majorBidi"/>
          <w:color w:val="000000"/>
          <w:sz w:val="24"/>
          <w:szCs w:val="24"/>
        </w:rPr>
        <w:t>concern</w:t>
      </w:r>
      <w:r w:rsidRPr="004C731D">
        <w:rPr>
          <w:rFonts w:asciiTheme="majorBidi" w:hAnsiTheme="majorBidi"/>
          <w:color w:val="000000"/>
          <w:sz w:val="24"/>
        </w:rPr>
        <w:t xml:space="preserve"> the </w:t>
      </w:r>
      <w:r w:rsidR="007F2EFE" w:rsidRPr="004C731D">
        <w:rPr>
          <w:rFonts w:asciiTheme="majorBidi" w:hAnsiTheme="majorBidi"/>
          <w:color w:val="000000"/>
          <w:sz w:val="24"/>
        </w:rPr>
        <w:t>PEA</w:t>
      </w:r>
      <w:r w:rsidRPr="0016142F">
        <w:rPr>
          <w:rFonts w:asciiTheme="majorBidi" w:hAnsiTheme="majorBidi"/>
          <w:color w:val="000000"/>
          <w:sz w:val="24"/>
        </w:rPr>
        <w:t>. According to Samaniego (2020), the phenomenon of contraction in informal employment had not occ</w:t>
      </w:r>
      <w:r w:rsidRPr="00BE052D">
        <w:rPr>
          <w:rFonts w:asciiTheme="majorBidi" w:hAnsiTheme="majorBidi"/>
          <w:color w:val="000000"/>
          <w:sz w:val="24"/>
        </w:rPr>
        <w:t xml:space="preserve">urred in previous </w:t>
      </w:r>
      <w:r w:rsidR="00CA63F4" w:rsidRPr="00BE052D">
        <w:rPr>
          <w:rFonts w:asciiTheme="majorBidi" w:hAnsiTheme="majorBidi"/>
          <w:color w:val="000000"/>
          <w:sz w:val="24"/>
        </w:rPr>
        <w:t>crises since</w:t>
      </w:r>
      <w:r w:rsidRPr="00BE052D">
        <w:rPr>
          <w:rFonts w:asciiTheme="majorBidi" w:hAnsiTheme="majorBidi"/>
          <w:color w:val="000000"/>
          <w:sz w:val="24"/>
        </w:rPr>
        <w:t xml:space="preserve"> informality used to be an escape valve for the economy when formal employment was affected.</w:t>
      </w:r>
    </w:p>
    <w:p w14:paraId="26CA4C6E" w14:textId="77777777" w:rsidR="005A5CDB" w:rsidRPr="00AA1CA4" w:rsidRDefault="005A5CDB" w:rsidP="00DC6EDA">
      <w:pPr>
        <w:spacing w:after="0" w:line="240" w:lineRule="auto"/>
        <w:jc w:val="both"/>
        <w:rPr>
          <w:rFonts w:asciiTheme="majorBidi" w:hAnsiTheme="majorBidi"/>
          <w:color w:val="000000"/>
          <w:sz w:val="24"/>
        </w:rPr>
      </w:pPr>
    </w:p>
    <w:p w14:paraId="0DF486C2" w14:textId="636EA414" w:rsidR="00D47512" w:rsidRPr="00BE052D" w:rsidRDefault="00CA63F4" w:rsidP="00DC6EDA">
      <w:pPr>
        <w:spacing w:after="0" w:line="240" w:lineRule="auto"/>
        <w:jc w:val="both"/>
        <w:rPr>
          <w:rFonts w:asciiTheme="majorBidi" w:hAnsiTheme="majorBidi"/>
          <w:color w:val="000000"/>
          <w:sz w:val="24"/>
        </w:rPr>
      </w:pPr>
      <w:r w:rsidRPr="00AA1CA4">
        <w:rPr>
          <w:rFonts w:asciiTheme="majorBidi" w:hAnsiTheme="majorBidi"/>
          <w:color w:val="000000"/>
          <w:sz w:val="24"/>
        </w:rPr>
        <w:t>On the other hand</w:t>
      </w:r>
      <w:r w:rsidR="00D47512" w:rsidRPr="00AA1CA4">
        <w:rPr>
          <w:rFonts w:asciiTheme="majorBidi" w:hAnsiTheme="majorBidi"/>
          <w:color w:val="000000"/>
          <w:sz w:val="24"/>
        </w:rPr>
        <w:t>, formal employment presents an increase in its proportion between 1</w:t>
      </w:r>
      <w:r w:rsidR="00AE12DD" w:rsidRPr="00AA1CA4">
        <w:rPr>
          <w:rFonts w:asciiTheme="majorBidi" w:hAnsiTheme="majorBidi"/>
          <w:color w:val="000000"/>
          <w:sz w:val="24"/>
        </w:rPr>
        <w:t xml:space="preserve"> to </w:t>
      </w:r>
      <w:r w:rsidR="00D47512" w:rsidRPr="00294B9C">
        <w:rPr>
          <w:rFonts w:asciiTheme="majorBidi" w:hAnsiTheme="majorBidi"/>
          <w:color w:val="000000"/>
          <w:sz w:val="24"/>
        </w:rPr>
        <w:t>3% for both genders</w:t>
      </w:r>
      <w:r w:rsidR="0010705E" w:rsidRPr="00294B9C">
        <w:rPr>
          <w:rFonts w:asciiTheme="majorBidi" w:hAnsiTheme="majorBidi"/>
          <w:color w:val="000000"/>
          <w:sz w:val="24"/>
        </w:rPr>
        <w:t>;</w:t>
      </w:r>
      <w:r w:rsidR="00D47512" w:rsidRPr="00294B9C">
        <w:rPr>
          <w:rFonts w:asciiTheme="majorBidi" w:hAnsiTheme="majorBidi"/>
          <w:color w:val="000000"/>
          <w:sz w:val="24"/>
        </w:rPr>
        <w:t xml:space="preserve"> this</w:t>
      </w:r>
      <w:r w:rsidR="0010705E" w:rsidRPr="00294B9C">
        <w:rPr>
          <w:rFonts w:asciiTheme="majorBidi" w:hAnsiTheme="majorBidi"/>
          <w:color w:val="000000"/>
          <w:sz w:val="24"/>
        </w:rPr>
        <w:t xml:space="preserve"> effect</w:t>
      </w:r>
      <w:r w:rsidR="00D47512" w:rsidRPr="00294B9C">
        <w:rPr>
          <w:rFonts w:asciiTheme="majorBidi" w:hAnsiTheme="majorBidi"/>
          <w:color w:val="000000"/>
          <w:sz w:val="24"/>
        </w:rPr>
        <w:t xml:space="preserve"> </w:t>
      </w:r>
      <w:r w:rsidR="0010705E" w:rsidRPr="00294B9C">
        <w:rPr>
          <w:rFonts w:asciiTheme="majorBidi" w:hAnsiTheme="majorBidi"/>
          <w:color w:val="000000"/>
          <w:sz w:val="24"/>
        </w:rPr>
        <w:t>could be related to</w:t>
      </w:r>
      <w:r w:rsidR="00D47512" w:rsidRPr="00294B9C">
        <w:rPr>
          <w:rFonts w:asciiTheme="majorBidi" w:hAnsiTheme="majorBidi"/>
          <w:color w:val="000000"/>
          <w:sz w:val="24"/>
        </w:rPr>
        <w:t xml:space="preserve"> the third quarter of 2020 </w:t>
      </w:r>
      <w:r w:rsidR="0010705E" w:rsidRPr="00294B9C">
        <w:rPr>
          <w:rFonts w:asciiTheme="majorBidi" w:hAnsiTheme="majorBidi"/>
          <w:color w:val="000000"/>
          <w:sz w:val="24"/>
        </w:rPr>
        <w:t xml:space="preserve">since </w:t>
      </w:r>
      <w:r w:rsidR="00D47512" w:rsidRPr="00294B9C">
        <w:rPr>
          <w:rFonts w:asciiTheme="majorBidi" w:hAnsiTheme="majorBidi"/>
          <w:color w:val="000000"/>
          <w:sz w:val="24"/>
        </w:rPr>
        <w:t xml:space="preserve">some of the economic sectors were already operating, so it could be reflected in employment recoveries. Several studies that have focused on analyzing formal employment with social security data report that the fall occurred </w:t>
      </w:r>
      <w:r w:rsidR="0010705E" w:rsidRPr="00294B9C">
        <w:rPr>
          <w:rFonts w:asciiTheme="majorBidi" w:hAnsiTheme="majorBidi"/>
          <w:color w:val="000000"/>
          <w:sz w:val="24"/>
        </w:rPr>
        <w:t>from</w:t>
      </w:r>
      <w:r w:rsidR="00D47512" w:rsidRPr="00294B9C">
        <w:rPr>
          <w:rFonts w:asciiTheme="majorBidi" w:hAnsiTheme="majorBidi"/>
          <w:color w:val="000000"/>
          <w:sz w:val="24"/>
        </w:rPr>
        <w:t xml:space="preserve"> February to May 2020 (Esquivel, 2020; Samaniego, 2020; Ruiz, 2020), </w:t>
      </w:r>
      <w:r w:rsidR="003F4253">
        <w:rPr>
          <w:rFonts w:asciiTheme="majorBidi" w:hAnsiTheme="majorBidi" w:cstheme="majorBidi"/>
          <w:color w:val="000000"/>
          <w:sz w:val="24"/>
          <w:szCs w:val="24"/>
        </w:rPr>
        <w:t xml:space="preserve">and </w:t>
      </w:r>
      <w:r w:rsidR="00D47512" w:rsidRPr="004C731D">
        <w:rPr>
          <w:rFonts w:asciiTheme="majorBidi" w:hAnsiTheme="majorBidi"/>
          <w:color w:val="000000"/>
          <w:sz w:val="24"/>
        </w:rPr>
        <w:t>this inflection point has been cataloged as the most severe of the previous crises, surpassing by 5.7% the minimum point observed in the 2008-2009 crisis.</w:t>
      </w:r>
    </w:p>
    <w:p w14:paraId="2EFA4156" w14:textId="6E2F7B4E" w:rsidR="00996544" w:rsidRPr="00BE052D" w:rsidRDefault="00996544" w:rsidP="00DC6EDA">
      <w:pPr>
        <w:spacing w:after="0" w:line="240" w:lineRule="auto"/>
        <w:jc w:val="both"/>
        <w:rPr>
          <w:rFonts w:asciiTheme="majorBidi" w:hAnsiTheme="majorBidi"/>
          <w:b/>
          <w:color w:val="000000"/>
          <w:sz w:val="24"/>
        </w:rPr>
      </w:pPr>
    </w:p>
    <w:p w14:paraId="2E9A647C" w14:textId="77777777" w:rsidR="00AE12DD" w:rsidRPr="00AA1CA4" w:rsidRDefault="00AE12DD" w:rsidP="00DC6EDA">
      <w:pPr>
        <w:spacing w:after="0" w:line="240" w:lineRule="auto"/>
        <w:jc w:val="both"/>
        <w:rPr>
          <w:rFonts w:asciiTheme="majorBidi" w:hAnsiTheme="majorBidi"/>
          <w:b/>
          <w:color w:val="000000"/>
          <w:sz w:val="24"/>
        </w:rPr>
      </w:pPr>
    </w:p>
    <w:p w14:paraId="4DF4A334" w14:textId="0B3C8BF5" w:rsidR="00D47512" w:rsidRPr="00147E97" w:rsidRDefault="00D47512"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2.2.1 </w:t>
      </w:r>
      <w:r w:rsidR="00256174" w:rsidRPr="00AA1CA4">
        <w:rPr>
          <w:rFonts w:asciiTheme="majorBidi" w:hAnsiTheme="majorBidi"/>
          <w:b/>
          <w:color w:val="000000"/>
          <w:sz w:val="24"/>
        </w:rPr>
        <w:t xml:space="preserve">Formal and </w:t>
      </w:r>
      <w:r w:rsidRPr="00147E97">
        <w:rPr>
          <w:rFonts w:asciiTheme="majorBidi" w:hAnsiTheme="majorBidi"/>
          <w:b/>
          <w:color w:val="000000"/>
          <w:sz w:val="24"/>
        </w:rPr>
        <w:t>informal employment</w:t>
      </w:r>
    </w:p>
    <w:p w14:paraId="3130832B" w14:textId="77777777" w:rsidR="005A5CDB" w:rsidRPr="00294B9C" w:rsidRDefault="005A5CDB" w:rsidP="00DC6EDA">
      <w:pPr>
        <w:spacing w:after="0" w:line="240" w:lineRule="auto"/>
        <w:jc w:val="both"/>
        <w:rPr>
          <w:rFonts w:asciiTheme="majorBidi" w:hAnsiTheme="majorBidi"/>
          <w:color w:val="000000"/>
          <w:sz w:val="24"/>
        </w:rPr>
      </w:pPr>
    </w:p>
    <w:p w14:paraId="6A9B7840" w14:textId="2938FFE8" w:rsidR="00D47512" w:rsidRPr="00BE052D" w:rsidRDefault="00D47512" w:rsidP="007F486E">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For the case of Mexico, one of the most widely used definitions </w:t>
      </w:r>
      <w:r w:rsidR="00F23493" w:rsidRPr="00294B9C">
        <w:rPr>
          <w:rFonts w:asciiTheme="majorBidi" w:hAnsiTheme="majorBidi"/>
          <w:color w:val="000000"/>
          <w:sz w:val="24"/>
        </w:rPr>
        <w:t xml:space="preserve">of formal employment </w:t>
      </w:r>
      <w:r w:rsidRPr="00294B9C">
        <w:rPr>
          <w:rFonts w:asciiTheme="majorBidi" w:hAnsiTheme="majorBidi"/>
          <w:color w:val="000000"/>
          <w:sz w:val="24"/>
        </w:rPr>
        <w:t xml:space="preserve">is the one </w:t>
      </w:r>
      <w:r w:rsidR="00151BB9" w:rsidRPr="00294B9C">
        <w:rPr>
          <w:rFonts w:asciiTheme="majorBidi" w:hAnsiTheme="majorBidi"/>
          <w:color w:val="000000"/>
          <w:sz w:val="24"/>
        </w:rPr>
        <w:t>outlined</w:t>
      </w:r>
      <w:r w:rsidRPr="00294B9C">
        <w:rPr>
          <w:rFonts w:asciiTheme="majorBidi" w:hAnsiTheme="majorBidi"/>
          <w:color w:val="000000"/>
          <w:sz w:val="24"/>
        </w:rPr>
        <w:t xml:space="preserve"> in Article 123 of the Political Constitution of the United Mexican States, which mentions that formal workers are entitled to the benefit of contributory social security. </w:t>
      </w:r>
      <w:r w:rsidR="002C56A3">
        <w:rPr>
          <w:rFonts w:asciiTheme="majorBidi" w:hAnsiTheme="majorBidi" w:cstheme="majorBidi"/>
          <w:color w:val="000000"/>
          <w:sz w:val="24"/>
          <w:szCs w:val="24"/>
        </w:rPr>
        <w:t xml:space="preserve">According to </w:t>
      </w:r>
      <w:r w:rsidRPr="004C731D">
        <w:rPr>
          <w:rFonts w:asciiTheme="majorBidi" w:hAnsiTheme="majorBidi"/>
          <w:color w:val="000000"/>
          <w:sz w:val="24"/>
        </w:rPr>
        <w:t>Algazhi (2018</w:t>
      </w:r>
      <w:r w:rsidRPr="00110A0B">
        <w:rPr>
          <w:rFonts w:asciiTheme="majorBidi" w:hAnsiTheme="majorBidi" w:cstheme="majorBidi"/>
          <w:color w:val="000000"/>
          <w:sz w:val="24"/>
          <w:szCs w:val="24"/>
        </w:rPr>
        <w:t>)</w:t>
      </w:r>
      <w:r w:rsidR="002C56A3">
        <w:rPr>
          <w:rFonts w:asciiTheme="majorBidi" w:hAnsiTheme="majorBidi" w:cstheme="majorBidi"/>
          <w:color w:val="000000"/>
          <w:sz w:val="24"/>
          <w:szCs w:val="24"/>
        </w:rPr>
        <w:t>,</w:t>
      </w:r>
      <w:r w:rsidRPr="004C731D">
        <w:rPr>
          <w:rFonts w:asciiTheme="majorBidi" w:hAnsiTheme="majorBidi"/>
          <w:color w:val="000000"/>
          <w:sz w:val="24"/>
        </w:rPr>
        <w:t xml:space="preserve"> there are </w:t>
      </w:r>
      <w:r w:rsidR="00110A0B" w:rsidRPr="004C731D">
        <w:rPr>
          <w:rFonts w:asciiTheme="majorBidi" w:hAnsiTheme="majorBidi"/>
          <w:color w:val="000000"/>
          <w:sz w:val="24"/>
        </w:rPr>
        <w:t xml:space="preserve">two </w:t>
      </w:r>
      <w:r w:rsidRPr="0016142F">
        <w:rPr>
          <w:rFonts w:asciiTheme="majorBidi" w:hAnsiTheme="majorBidi"/>
          <w:color w:val="000000"/>
          <w:sz w:val="24"/>
        </w:rPr>
        <w:t xml:space="preserve">reasons why it is pertinent to stick to this </w:t>
      </w:r>
      <w:r w:rsidRPr="0016142F">
        <w:rPr>
          <w:rFonts w:asciiTheme="majorBidi" w:hAnsiTheme="majorBidi"/>
          <w:color w:val="000000"/>
          <w:sz w:val="24"/>
        </w:rPr>
        <w:lastRenderedPageBreak/>
        <w:t xml:space="preserve">definition. </w:t>
      </w:r>
      <w:r w:rsidR="00110A0B" w:rsidRPr="0016142F">
        <w:rPr>
          <w:rFonts w:asciiTheme="majorBidi" w:hAnsiTheme="majorBidi"/>
          <w:color w:val="000000"/>
          <w:sz w:val="24"/>
        </w:rPr>
        <w:t>The firs</w:t>
      </w:r>
      <w:r w:rsidR="00151BB9" w:rsidRPr="0016142F">
        <w:rPr>
          <w:rFonts w:asciiTheme="majorBidi" w:hAnsiTheme="majorBidi"/>
          <w:color w:val="000000"/>
          <w:sz w:val="24"/>
        </w:rPr>
        <w:t>t</w:t>
      </w:r>
      <w:r w:rsidR="00110A0B" w:rsidRPr="008E7169">
        <w:rPr>
          <w:rFonts w:asciiTheme="majorBidi" w:hAnsiTheme="majorBidi"/>
          <w:color w:val="000000"/>
          <w:sz w:val="24"/>
        </w:rPr>
        <w:t xml:space="preserve"> </w:t>
      </w:r>
      <w:r w:rsidRPr="008E7169">
        <w:rPr>
          <w:rFonts w:asciiTheme="majorBidi" w:hAnsiTheme="majorBidi"/>
          <w:color w:val="000000"/>
          <w:sz w:val="24"/>
        </w:rPr>
        <w:t xml:space="preserve">of them is a social reason </w:t>
      </w:r>
      <w:r w:rsidR="007F486E">
        <w:rPr>
          <w:rFonts w:asciiTheme="majorBidi" w:hAnsiTheme="majorBidi"/>
          <w:color w:val="000000"/>
          <w:sz w:val="24"/>
        </w:rPr>
        <w:t>because</w:t>
      </w:r>
      <w:r w:rsidR="007F486E" w:rsidRPr="004C731D">
        <w:rPr>
          <w:rFonts w:asciiTheme="majorBidi" w:hAnsiTheme="majorBidi"/>
          <w:color w:val="000000"/>
          <w:sz w:val="24"/>
        </w:rPr>
        <w:t xml:space="preserve"> </w:t>
      </w:r>
      <w:r w:rsidRPr="004C731D">
        <w:rPr>
          <w:rFonts w:asciiTheme="majorBidi" w:hAnsiTheme="majorBidi"/>
          <w:color w:val="000000"/>
          <w:sz w:val="24"/>
        </w:rPr>
        <w:t xml:space="preserve">formal workers enjoy benefits against various risks, such </w:t>
      </w:r>
      <w:r w:rsidRPr="0016142F">
        <w:rPr>
          <w:rFonts w:asciiTheme="majorBidi" w:hAnsiTheme="majorBidi"/>
          <w:color w:val="000000"/>
          <w:sz w:val="24"/>
        </w:rPr>
        <w:t>as insurance for disability, death, dismissal</w:t>
      </w:r>
      <w:r w:rsidR="00317BF0">
        <w:rPr>
          <w:rFonts w:asciiTheme="majorBidi" w:hAnsiTheme="majorBidi"/>
          <w:color w:val="000000"/>
          <w:sz w:val="24"/>
        </w:rPr>
        <w:t>, among other issues</w:t>
      </w:r>
      <w:r w:rsidRPr="004C731D">
        <w:rPr>
          <w:rFonts w:asciiTheme="majorBidi" w:hAnsiTheme="majorBidi"/>
          <w:color w:val="000000"/>
          <w:sz w:val="24"/>
        </w:rPr>
        <w:t>. These insurances allow the individual to evaluate his</w:t>
      </w:r>
      <w:r w:rsidR="00BC7E65">
        <w:rPr>
          <w:rFonts w:asciiTheme="majorBidi" w:hAnsiTheme="majorBidi" w:cstheme="majorBidi"/>
          <w:color w:val="000000"/>
          <w:sz w:val="24"/>
          <w:szCs w:val="24"/>
        </w:rPr>
        <w:t>/</w:t>
      </w:r>
      <w:r w:rsidRPr="004C731D">
        <w:rPr>
          <w:rFonts w:asciiTheme="majorBidi" w:hAnsiTheme="majorBidi"/>
          <w:color w:val="000000"/>
          <w:sz w:val="24"/>
        </w:rPr>
        <w:t>her decision between employment in</w:t>
      </w:r>
      <w:r w:rsidR="00DD0EE4" w:rsidRPr="004C731D">
        <w:rPr>
          <w:rFonts w:asciiTheme="majorBidi" w:hAnsiTheme="majorBidi"/>
          <w:color w:val="000000"/>
          <w:sz w:val="24"/>
        </w:rPr>
        <w:t>to</w:t>
      </w:r>
      <w:r w:rsidRPr="0016142F">
        <w:rPr>
          <w:rFonts w:asciiTheme="majorBidi" w:hAnsiTheme="majorBidi"/>
          <w:color w:val="000000"/>
          <w:sz w:val="24"/>
        </w:rPr>
        <w:t xml:space="preserve"> formality or informality</w:t>
      </w:r>
      <w:r w:rsidR="00DD0EE4" w:rsidRPr="0016142F">
        <w:rPr>
          <w:rFonts w:asciiTheme="majorBidi" w:hAnsiTheme="majorBidi"/>
          <w:color w:val="000000"/>
          <w:sz w:val="24"/>
        </w:rPr>
        <w:t xml:space="preserve"> categories</w:t>
      </w:r>
      <w:r w:rsidRPr="0016142F">
        <w:rPr>
          <w:rFonts w:asciiTheme="majorBidi" w:hAnsiTheme="majorBidi"/>
          <w:color w:val="000000"/>
          <w:sz w:val="24"/>
        </w:rPr>
        <w:t>.</w:t>
      </w:r>
      <w:r w:rsidR="00110A0B" w:rsidRPr="008E7169">
        <w:rPr>
          <w:rFonts w:asciiTheme="majorBidi" w:hAnsiTheme="majorBidi"/>
          <w:color w:val="000000"/>
          <w:sz w:val="24"/>
        </w:rPr>
        <w:t xml:space="preserve"> </w:t>
      </w:r>
      <w:r w:rsidRPr="008E7169">
        <w:rPr>
          <w:rFonts w:asciiTheme="majorBidi" w:hAnsiTheme="majorBidi"/>
          <w:color w:val="000000"/>
          <w:sz w:val="24"/>
        </w:rPr>
        <w:t>A</w:t>
      </w:r>
      <w:r w:rsidR="00110A0B" w:rsidRPr="00C44071">
        <w:rPr>
          <w:rFonts w:asciiTheme="majorBidi" w:hAnsiTheme="majorBidi"/>
          <w:color w:val="000000"/>
          <w:sz w:val="24"/>
        </w:rPr>
        <w:t xml:space="preserve"> second</w:t>
      </w:r>
      <w:r w:rsidRPr="00C44071">
        <w:rPr>
          <w:rFonts w:asciiTheme="majorBidi" w:hAnsiTheme="majorBidi"/>
          <w:color w:val="000000"/>
          <w:sz w:val="24"/>
        </w:rPr>
        <w:t xml:space="preserve"> reason</w:t>
      </w:r>
      <w:r w:rsidR="00110A0B" w:rsidRPr="00C44071">
        <w:rPr>
          <w:rFonts w:asciiTheme="majorBidi" w:hAnsiTheme="majorBidi"/>
          <w:color w:val="000000"/>
          <w:sz w:val="24"/>
        </w:rPr>
        <w:t xml:space="preserve"> to define informality in </w:t>
      </w:r>
      <w:r w:rsidR="00F605B8">
        <w:rPr>
          <w:rFonts w:asciiTheme="majorBidi" w:hAnsiTheme="majorBidi" w:cstheme="majorBidi"/>
          <w:color w:val="000000"/>
          <w:sz w:val="24"/>
          <w:szCs w:val="24"/>
        </w:rPr>
        <w:t>these</w:t>
      </w:r>
      <w:r w:rsidR="00F605B8" w:rsidRPr="004C731D">
        <w:rPr>
          <w:rFonts w:asciiTheme="majorBidi" w:hAnsiTheme="majorBidi"/>
          <w:color w:val="000000"/>
          <w:sz w:val="24"/>
        </w:rPr>
        <w:t xml:space="preserve"> </w:t>
      </w:r>
      <w:r w:rsidR="00110A0B" w:rsidRPr="004C731D">
        <w:rPr>
          <w:rFonts w:asciiTheme="majorBidi" w:hAnsiTheme="majorBidi"/>
          <w:color w:val="000000"/>
          <w:sz w:val="24"/>
        </w:rPr>
        <w:t>terms</w:t>
      </w:r>
      <w:r w:rsidRPr="0016142F">
        <w:rPr>
          <w:rFonts w:asciiTheme="majorBidi" w:hAnsiTheme="majorBidi"/>
          <w:color w:val="000000"/>
          <w:sz w:val="24"/>
        </w:rPr>
        <w:t xml:space="preserve"> is related to </w:t>
      </w:r>
      <w:r w:rsidR="00110A0B" w:rsidRPr="0016142F">
        <w:rPr>
          <w:rFonts w:asciiTheme="majorBidi" w:hAnsiTheme="majorBidi"/>
          <w:color w:val="000000"/>
          <w:sz w:val="24"/>
        </w:rPr>
        <w:t xml:space="preserve">labor </w:t>
      </w:r>
      <w:r w:rsidRPr="008E7169">
        <w:rPr>
          <w:rFonts w:asciiTheme="majorBidi" w:hAnsiTheme="majorBidi"/>
          <w:color w:val="000000"/>
          <w:sz w:val="24"/>
        </w:rPr>
        <w:t>productivity.</w:t>
      </w:r>
      <w:r w:rsidR="00110A0B" w:rsidRPr="008E7169">
        <w:rPr>
          <w:rFonts w:asciiTheme="majorBidi" w:hAnsiTheme="majorBidi"/>
          <w:color w:val="000000"/>
          <w:sz w:val="24"/>
        </w:rPr>
        <w:t xml:space="preserve"> In particular, t</w:t>
      </w:r>
      <w:r w:rsidRPr="00C44071">
        <w:rPr>
          <w:rFonts w:asciiTheme="majorBidi" w:hAnsiTheme="majorBidi"/>
          <w:color w:val="000000"/>
          <w:sz w:val="24"/>
        </w:rPr>
        <w:t>hose who belong to the informal sector</w:t>
      </w:r>
      <w:r w:rsidR="00110A0B" w:rsidRPr="00C44071">
        <w:rPr>
          <w:rFonts w:asciiTheme="majorBidi" w:hAnsiTheme="majorBidi"/>
          <w:color w:val="000000"/>
          <w:sz w:val="24"/>
        </w:rPr>
        <w:t xml:space="preserve"> </w:t>
      </w:r>
      <w:r w:rsidRPr="00C44071">
        <w:rPr>
          <w:rFonts w:asciiTheme="majorBidi" w:hAnsiTheme="majorBidi"/>
          <w:color w:val="000000"/>
          <w:sz w:val="24"/>
        </w:rPr>
        <w:t>are part of low</w:t>
      </w:r>
      <w:r w:rsidR="007F486E">
        <w:rPr>
          <w:rFonts w:asciiTheme="majorBidi" w:hAnsiTheme="majorBidi"/>
          <w:color w:val="000000"/>
          <w:sz w:val="24"/>
        </w:rPr>
        <w:t>-</w:t>
      </w:r>
      <w:r w:rsidRPr="004C731D">
        <w:rPr>
          <w:rFonts w:asciiTheme="majorBidi" w:hAnsiTheme="majorBidi"/>
          <w:color w:val="000000"/>
          <w:sz w:val="24"/>
        </w:rPr>
        <w:t>productivity companies</w:t>
      </w:r>
      <w:r w:rsidR="00151BB9" w:rsidRPr="004C731D">
        <w:rPr>
          <w:rFonts w:asciiTheme="majorBidi" w:hAnsiTheme="majorBidi"/>
          <w:color w:val="000000"/>
          <w:sz w:val="24"/>
        </w:rPr>
        <w:t>,</w:t>
      </w:r>
      <w:r w:rsidRPr="0016142F">
        <w:rPr>
          <w:rFonts w:asciiTheme="majorBidi" w:hAnsiTheme="majorBidi"/>
          <w:color w:val="000000"/>
          <w:sz w:val="24"/>
        </w:rPr>
        <w:t xml:space="preserve"> and</w:t>
      </w:r>
      <w:r w:rsidR="00F605B8">
        <w:rPr>
          <w:rFonts w:asciiTheme="majorBidi" w:hAnsiTheme="majorBidi" w:cstheme="majorBidi"/>
          <w:color w:val="000000"/>
          <w:sz w:val="24"/>
          <w:szCs w:val="24"/>
        </w:rPr>
        <w:t>,</w:t>
      </w:r>
      <w:r w:rsidRPr="004C731D">
        <w:rPr>
          <w:rFonts w:asciiTheme="majorBidi" w:hAnsiTheme="majorBidi"/>
          <w:color w:val="000000"/>
          <w:sz w:val="24"/>
        </w:rPr>
        <w:t xml:space="preserve"> in turn</w:t>
      </w:r>
      <w:r w:rsidR="008119AE" w:rsidRPr="004C731D">
        <w:rPr>
          <w:rFonts w:asciiTheme="majorBidi" w:hAnsiTheme="majorBidi"/>
          <w:color w:val="000000"/>
          <w:sz w:val="24"/>
        </w:rPr>
        <w:t>,</w:t>
      </w:r>
      <w:r w:rsidRPr="0016142F">
        <w:rPr>
          <w:rFonts w:asciiTheme="majorBidi" w:hAnsiTheme="majorBidi"/>
          <w:color w:val="000000"/>
          <w:sz w:val="24"/>
        </w:rPr>
        <w:t xml:space="preserve"> these </w:t>
      </w:r>
      <w:r w:rsidR="00151BB9" w:rsidRPr="0016142F">
        <w:rPr>
          <w:rFonts w:asciiTheme="majorBidi" w:hAnsiTheme="majorBidi"/>
          <w:color w:val="000000"/>
          <w:sz w:val="24"/>
        </w:rPr>
        <w:t>laborers</w:t>
      </w:r>
      <w:r w:rsidRPr="0016142F">
        <w:rPr>
          <w:rFonts w:asciiTheme="majorBidi" w:hAnsiTheme="majorBidi"/>
          <w:color w:val="000000"/>
          <w:sz w:val="24"/>
        </w:rPr>
        <w:t xml:space="preserve"> segment the market in such a way that formal and informal employment fluctuates according to economic cycles, and</w:t>
      </w:r>
      <w:r w:rsidRPr="00BE052D">
        <w:rPr>
          <w:rFonts w:asciiTheme="majorBidi" w:hAnsiTheme="majorBidi"/>
          <w:color w:val="000000"/>
          <w:sz w:val="24"/>
        </w:rPr>
        <w:t xml:space="preserve"> this is known as duality in the labor market (Maloney, 2004).</w:t>
      </w:r>
    </w:p>
    <w:p w14:paraId="5DAA8C7B" w14:textId="77777777" w:rsidR="00F16513" w:rsidRPr="00BE052D" w:rsidRDefault="00F16513" w:rsidP="00DC6EDA">
      <w:pPr>
        <w:spacing w:after="0" w:line="240" w:lineRule="auto"/>
        <w:jc w:val="both"/>
        <w:rPr>
          <w:rFonts w:asciiTheme="majorBidi" w:hAnsiTheme="majorBidi"/>
          <w:color w:val="000000"/>
          <w:sz w:val="24"/>
        </w:rPr>
      </w:pPr>
    </w:p>
    <w:p w14:paraId="4F6108B9" w14:textId="00D89D41" w:rsidR="00D47512" w:rsidRPr="004C731D" w:rsidRDefault="00D47512"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On the other hand, the </w:t>
      </w:r>
      <w:r w:rsidR="006F1C7D" w:rsidRPr="00AA1CA4">
        <w:rPr>
          <w:rFonts w:asciiTheme="majorBidi" w:hAnsiTheme="majorBidi"/>
          <w:color w:val="000000"/>
          <w:sz w:val="24"/>
        </w:rPr>
        <w:t xml:space="preserve">Mexican National Institute of Statistics and Geography </w:t>
      </w:r>
      <w:r w:rsidRPr="00AA1CA4">
        <w:rPr>
          <w:rFonts w:asciiTheme="majorBidi" w:hAnsiTheme="majorBidi"/>
          <w:color w:val="000000"/>
          <w:sz w:val="24"/>
        </w:rPr>
        <w:t>(INEGI</w:t>
      </w:r>
      <w:r w:rsidRPr="00110A0B">
        <w:rPr>
          <w:rFonts w:asciiTheme="majorBidi" w:hAnsiTheme="majorBidi" w:cstheme="majorBidi"/>
          <w:color w:val="000000"/>
          <w:sz w:val="24"/>
          <w:szCs w:val="24"/>
        </w:rPr>
        <w:t>)</w:t>
      </w:r>
      <w:r w:rsidR="00413DCD">
        <w:rPr>
          <w:rFonts w:asciiTheme="majorBidi" w:hAnsiTheme="majorBidi" w:cstheme="majorBidi"/>
          <w:color w:val="000000"/>
          <w:sz w:val="24"/>
          <w:szCs w:val="24"/>
        </w:rPr>
        <w:t>,</w:t>
      </w:r>
      <w:r w:rsidRPr="004C731D">
        <w:rPr>
          <w:rFonts w:asciiTheme="majorBidi" w:hAnsiTheme="majorBidi"/>
          <w:color w:val="000000"/>
          <w:sz w:val="24"/>
        </w:rPr>
        <w:t xml:space="preserve"> together with the Ministry of Labor and Social Welfare (STPS</w:t>
      </w:r>
      <w:r w:rsidRPr="00110A0B">
        <w:rPr>
          <w:rFonts w:asciiTheme="majorBidi" w:hAnsiTheme="majorBidi" w:cstheme="majorBidi"/>
          <w:color w:val="000000"/>
          <w:sz w:val="24"/>
          <w:szCs w:val="24"/>
        </w:rPr>
        <w:t>)</w:t>
      </w:r>
      <w:r w:rsidR="00413DCD">
        <w:rPr>
          <w:rFonts w:asciiTheme="majorBidi" w:hAnsiTheme="majorBidi" w:cstheme="majorBidi"/>
          <w:color w:val="000000"/>
          <w:sz w:val="24"/>
          <w:szCs w:val="24"/>
        </w:rPr>
        <w:t>,</w:t>
      </w:r>
      <w:r w:rsidRPr="00110A0B">
        <w:rPr>
          <w:rFonts w:asciiTheme="majorBidi" w:hAnsiTheme="majorBidi" w:cstheme="majorBidi"/>
          <w:color w:val="000000"/>
          <w:sz w:val="24"/>
          <w:szCs w:val="24"/>
        </w:rPr>
        <w:t xml:space="preserve"> establish</w:t>
      </w:r>
      <w:r w:rsidR="00413DCD">
        <w:rPr>
          <w:rFonts w:asciiTheme="majorBidi" w:hAnsiTheme="majorBidi" w:cstheme="majorBidi"/>
          <w:color w:val="000000"/>
          <w:sz w:val="24"/>
          <w:szCs w:val="24"/>
        </w:rPr>
        <w:t>es</w:t>
      </w:r>
      <w:r w:rsidRPr="004C731D">
        <w:rPr>
          <w:rFonts w:asciiTheme="majorBidi" w:hAnsiTheme="majorBidi"/>
          <w:color w:val="000000"/>
          <w:sz w:val="24"/>
        </w:rPr>
        <w:t xml:space="preserve"> criteria to measure the informal sector using the National Survey of Microbusinesses (ENAMIN). </w:t>
      </w:r>
      <w:r w:rsidRPr="00A46182">
        <w:rPr>
          <w:rFonts w:asciiTheme="majorBidi" w:hAnsiTheme="majorBidi"/>
          <w:color w:val="000000"/>
          <w:sz w:val="24"/>
        </w:rPr>
        <w:t>The</w:t>
      </w:r>
      <w:r w:rsidR="00D202D7">
        <w:rPr>
          <w:rFonts w:asciiTheme="majorBidi" w:hAnsiTheme="majorBidi"/>
          <w:color w:val="000000"/>
          <w:sz w:val="24"/>
        </w:rPr>
        <w:t>se</w:t>
      </w:r>
      <w:r w:rsidRPr="004C731D">
        <w:rPr>
          <w:rFonts w:asciiTheme="majorBidi" w:hAnsiTheme="majorBidi"/>
          <w:color w:val="000000"/>
          <w:sz w:val="24"/>
        </w:rPr>
        <w:t xml:space="preserve"> criteria</w:t>
      </w:r>
      <w:r w:rsidR="00D202D7" w:rsidRPr="004C731D">
        <w:rPr>
          <w:rFonts w:asciiTheme="majorBidi" w:hAnsiTheme="majorBidi"/>
          <w:color w:val="000000"/>
          <w:sz w:val="24"/>
        </w:rPr>
        <w:t xml:space="preserve"> </w:t>
      </w:r>
      <w:r w:rsidR="00D202D7">
        <w:rPr>
          <w:rFonts w:asciiTheme="majorBidi" w:hAnsiTheme="majorBidi"/>
          <w:color w:val="000000"/>
          <w:sz w:val="24"/>
        </w:rPr>
        <w:t>include</w:t>
      </w:r>
      <w:r w:rsidR="00D202D7" w:rsidRPr="004C731D">
        <w:rPr>
          <w:rFonts w:asciiTheme="majorBidi" w:hAnsiTheme="majorBidi"/>
          <w:color w:val="000000"/>
          <w:sz w:val="24"/>
        </w:rPr>
        <w:t xml:space="preserve"> </w:t>
      </w:r>
      <w:r w:rsidRPr="004C731D">
        <w:rPr>
          <w:rFonts w:asciiTheme="majorBidi" w:hAnsiTheme="majorBidi"/>
          <w:color w:val="000000"/>
          <w:sz w:val="24"/>
        </w:rPr>
        <w:t xml:space="preserve">economic division, </w:t>
      </w:r>
      <w:r w:rsidR="0037078F" w:rsidRPr="0016142F">
        <w:rPr>
          <w:rFonts w:asciiTheme="majorBidi" w:hAnsiTheme="majorBidi"/>
          <w:color w:val="000000"/>
          <w:sz w:val="24"/>
        </w:rPr>
        <w:t xml:space="preserve">the </w:t>
      </w:r>
      <w:r w:rsidRPr="0016142F">
        <w:rPr>
          <w:rFonts w:asciiTheme="majorBidi" w:hAnsiTheme="majorBidi"/>
          <w:color w:val="000000"/>
          <w:sz w:val="24"/>
        </w:rPr>
        <w:t>number of workers</w:t>
      </w:r>
      <w:r w:rsidR="0037078F" w:rsidRPr="0016142F">
        <w:rPr>
          <w:rFonts w:asciiTheme="majorBidi" w:hAnsiTheme="majorBidi"/>
          <w:color w:val="000000"/>
          <w:sz w:val="24"/>
        </w:rPr>
        <w:t>,</w:t>
      </w:r>
      <w:r w:rsidRPr="008E7169">
        <w:rPr>
          <w:rFonts w:asciiTheme="majorBidi" w:hAnsiTheme="majorBidi"/>
          <w:color w:val="000000"/>
          <w:sz w:val="24"/>
        </w:rPr>
        <w:t xml:space="preserve"> and </w:t>
      </w:r>
      <w:r w:rsidR="00413DCD">
        <w:rPr>
          <w:rFonts w:asciiTheme="majorBidi" w:hAnsiTheme="majorBidi" w:cstheme="majorBidi"/>
          <w:color w:val="000000"/>
          <w:sz w:val="24"/>
          <w:szCs w:val="24"/>
        </w:rPr>
        <w:t>the exclusion of</w:t>
      </w:r>
      <w:r w:rsidR="00413DCD" w:rsidRPr="00110A0B">
        <w:rPr>
          <w:rFonts w:asciiTheme="majorBidi" w:hAnsiTheme="majorBidi" w:cstheme="majorBidi"/>
          <w:color w:val="000000"/>
          <w:sz w:val="24"/>
          <w:szCs w:val="24"/>
        </w:rPr>
        <w:t xml:space="preserve"> </w:t>
      </w:r>
      <w:r w:rsidRPr="004C731D">
        <w:rPr>
          <w:rFonts w:asciiTheme="majorBidi" w:hAnsiTheme="majorBidi"/>
          <w:color w:val="000000"/>
          <w:sz w:val="24"/>
        </w:rPr>
        <w:t xml:space="preserve">some areas of </w:t>
      </w:r>
      <w:r w:rsidR="00AE45D1" w:rsidRPr="004C731D">
        <w:rPr>
          <w:rFonts w:asciiTheme="majorBidi" w:hAnsiTheme="majorBidi"/>
          <w:color w:val="000000"/>
          <w:sz w:val="24"/>
        </w:rPr>
        <w:t xml:space="preserve">the formal </w:t>
      </w:r>
      <w:r w:rsidR="00AE45D1" w:rsidRPr="00110A0B">
        <w:rPr>
          <w:rFonts w:asciiTheme="majorBidi" w:hAnsiTheme="majorBidi" w:cstheme="majorBidi"/>
          <w:color w:val="000000"/>
          <w:sz w:val="24"/>
          <w:szCs w:val="24"/>
        </w:rPr>
        <w:t>sector</w:t>
      </w:r>
      <w:r w:rsidR="00317BF0">
        <w:rPr>
          <w:rFonts w:asciiTheme="majorBidi" w:hAnsiTheme="majorBidi" w:cstheme="majorBidi"/>
          <w:color w:val="000000"/>
          <w:sz w:val="24"/>
          <w:szCs w:val="24"/>
        </w:rPr>
        <w:t>'</w:t>
      </w:r>
      <w:r w:rsidR="00AE45D1">
        <w:rPr>
          <w:rFonts w:asciiTheme="majorBidi" w:hAnsiTheme="majorBidi" w:cstheme="majorBidi"/>
          <w:color w:val="000000"/>
          <w:sz w:val="24"/>
          <w:szCs w:val="24"/>
        </w:rPr>
        <w:t>s</w:t>
      </w:r>
      <w:r w:rsidR="00AE45D1" w:rsidRPr="00110A0B">
        <w:rPr>
          <w:rFonts w:asciiTheme="majorBidi" w:hAnsiTheme="majorBidi" w:cstheme="majorBidi"/>
          <w:color w:val="000000"/>
          <w:sz w:val="24"/>
          <w:szCs w:val="24"/>
        </w:rPr>
        <w:t xml:space="preserve"> </w:t>
      </w:r>
      <w:r w:rsidRPr="00110A0B">
        <w:rPr>
          <w:rFonts w:asciiTheme="majorBidi" w:hAnsiTheme="majorBidi" w:cstheme="majorBidi"/>
          <w:color w:val="000000"/>
          <w:sz w:val="24"/>
          <w:szCs w:val="24"/>
        </w:rPr>
        <w:t>activity</w:t>
      </w:r>
      <w:r w:rsidRPr="00A46182">
        <w:rPr>
          <w:rFonts w:asciiTheme="majorBidi" w:hAnsiTheme="majorBidi"/>
          <w:color w:val="000000"/>
          <w:sz w:val="24"/>
        </w:rPr>
        <w:t xml:space="preserve"> </w:t>
      </w:r>
      <w:r w:rsidRPr="004C731D">
        <w:rPr>
          <w:rFonts w:asciiTheme="majorBidi" w:hAnsiTheme="majorBidi"/>
          <w:color w:val="000000"/>
          <w:sz w:val="24"/>
        </w:rPr>
        <w:t>(Chapa, Flores</w:t>
      </w:r>
      <w:r w:rsidR="00DA19CF">
        <w:rPr>
          <w:rFonts w:asciiTheme="majorBidi" w:hAnsiTheme="majorBidi"/>
          <w:color w:val="000000"/>
          <w:sz w:val="24"/>
        </w:rPr>
        <w:t>,</w:t>
      </w:r>
      <w:r w:rsidRPr="004C731D">
        <w:rPr>
          <w:rFonts w:asciiTheme="majorBidi" w:hAnsiTheme="majorBidi"/>
          <w:color w:val="000000"/>
          <w:sz w:val="24"/>
        </w:rPr>
        <w:t xml:space="preserve"> and Valero, 2005).</w:t>
      </w:r>
    </w:p>
    <w:p w14:paraId="3839E4C0" w14:textId="77777777" w:rsidR="00185D4A" w:rsidRPr="00BE052D" w:rsidRDefault="00185D4A" w:rsidP="00DC6EDA">
      <w:pPr>
        <w:spacing w:after="0" w:line="240" w:lineRule="auto"/>
        <w:jc w:val="both"/>
        <w:rPr>
          <w:rFonts w:asciiTheme="majorBidi" w:hAnsiTheme="majorBidi"/>
          <w:color w:val="000000"/>
          <w:sz w:val="24"/>
        </w:rPr>
      </w:pPr>
    </w:p>
    <w:p w14:paraId="75AFF410" w14:textId="1D34F2F1" w:rsidR="00F5690D" w:rsidRPr="00C44071"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For this study,</w:t>
      </w:r>
      <w:r w:rsidRPr="00AA1CA4">
        <w:rPr>
          <w:rFonts w:asciiTheme="majorBidi" w:hAnsiTheme="majorBidi"/>
          <w:color w:val="000000"/>
          <w:sz w:val="24"/>
        </w:rPr>
        <w:t xml:space="preserve"> we adhere to both definitions. In the case of salaried workers, we refer to whether the individual has social security (IMSS or ISSSTE</w:t>
      </w:r>
      <w:r w:rsidRPr="00F5690D">
        <w:rPr>
          <w:rFonts w:asciiTheme="majorBidi" w:hAnsiTheme="majorBidi" w:cstheme="majorBidi"/>
          <w:color w:val="000000"/>
          <w:sz w:val="24"/>
          <w:szCs w:val="24"/>
        </w:rPr>
        <w:t>)</w:t>
      </w:r>
      <w:r w:rsidR="00AE45D1">
        <w:rPr>
          <w:rFonts w:asciiTheme="majorBidi" w:hAnsiTheme="majorBidi" w:cstheme="majorBidi"/>
          <w:color w:val="000000"/>
          <w:sz w:val="24"/>
          <w:szCs w:val="24"/>
        </w:rPr>
        <w:t>.</w:t>
      </w:r>
      <w:r w:rsidR="007F2EFE" w:rsidRPr="004C731D">
        <w:rPr>
          <w:rStyle w:val="Refdenotaalpie"/>
          <w:rFonts w:asciiTheme="majorBidi" w:hAnsiTheme="majorBidi"/>
          <w:color w:val="000000"/>
          <w:sz w:val="24"/>
        </w:rPr>
        <w:footnoteReference w:id="3"/>
      </w:r>
      <w:r w:rsidRPr="004C731D">
        <w:rPr>
          <w:rFonts w:asciiTheme="majorBidi" w:hAnsiTheme="majorBidi"/>
          <w:color w:val="000000"/>
          <w:sz w:val="24"/>
        </w:rPr>
        <w:t xml:space="preserve"> In the case of employers, </w:t>
      </w:r>
      <w:r w:rsidR="00CA63F4" w:rsidRPr="004C731D">
        <w:rPr>
          <w:rFonts w:asciiTheme="majorBidi" w:hAnsiTheme="majorBidi"/>
          <w:color w:val="000000"/>
          <w:sz w:val="24"/>
        </w:rPr>
        <w:t>subcontractors,</w:t>
      </w:r>
      <w:r w:rsidRPr="0016142F">
        <w:rPr>
          <w:rFonts w:asciiTheme="majorBidi" w:hAnsiTheme="majorBidi"/>
          <w:color w:val="000000"/>
          <w:sz w:val="24"/>
        </w:rPr>
        <w:t xml:space="preserve"> and self-employed workers, </w:t>
      </w:r>
      <w:r w:rsidR="00020E14">
        <w:rPr>
          <w:rFonts w:asciiTheme="majorBidi" w:hAnsiTheme="majorBidi"/>
          <w:color w:val="000000"/>
          <w:sz w:val="24"/>
        </w:rPr>
        <w:t>we</w:t>
      </w:r>
      <w:r w:rsidRPr="004C731D">
        <w:rPr>
          <w:rFonts w:asciiTheme="majorBidi" w:hAnsiTheme="majorBidi"/>
          <w:color w:val="000000"/>
          <w:sz w:val="24"/>
        </w:rPr>
        <w:t xml:space="preserve"> decided to opt for the number of workers employed (at least more than 15 people) and whether the company name is duly registered.</w:t>
      </w:r>
      <w:r w:rsidR="00110A0B" w:rsidRPr="004C731D">
        <w:rPr>
          <w:rFonts w:asciiTheme="majorBidi" w:hAnsiTheme="majorBidi"/>
          <w:color w:val="000000"/>
          <w:sz w:val="24"/>
        </w:rPr>
        <w:t xml:space="preserve"> </w:t>
      </w:r>
      <w:r w:rsidRPr="0016142F">
        <w:rPr>
          <w:rFonts w:asciiTheme="majorBidi" w:hAnsiTheme="majorBidi"/>
          <w:color w:val="000000"/>
          <w:sz w:val="24"/>
        </w:rPr>
        <w:t>For example, if an individual is a salaried employee</w:t>
      </w:r>
      <w:r w:rsidRPr="004C731D">
        <w:rPr>
          <w:rFonts w:asciiTheme="majorBidi" w:hAnsiTheme="majorBidi"/>
          <w:color w:val="000000"/>
          <w:sz w:val="24"/>
        </w:rPr>
        <w:t xml:space="preserve"> but lacks social security, </w:t>
      </w:r>
      <w:r w:rsidR="00020E14">
        <w:rPr>
          <w:rFonts w:asciiTheme="majorBidi" w:hAnsiTheme="majorBidi"/>
          <w:color w:val="000000"/>
          <w:sz w:val="24"/>
        </w:rPr>
        <w:t>we</w:t>
      </w:r>
      <w:r w:rsidRPr="004C731D">
        <w:rPr>
          <w:rFonts w:asciiTheme="majorBidi" w:hAnsiTheme="majorBidi"/>
          <w:color w:val="000000"/>
          <w:sz w:val="24"/>
        </w:rPr>
        <w:t xml:space="preserve"> classified</w:t>
      </w:r>
      <w:r w:rsidRPr="00A46182">
        <w:rPr>
          <w:rFonts w:asciiTheme="majorBidi" w:hAnsiTheme="majorBidi"/>
          <w:color w:val="000000"/>
          <w:sz w:val="24"/>
        </w:rPr>
        <w:t xml:space="preserve"> </w:t>
      </w:r>
      <w:r w:rsidR="00020E14">
        <w:rPr>
          <w:rFonts w:asciiTheme="majorBidi" w:hAnsiTheme="majorBidi"/>
          <w:color w:val="000000"/>
          <w:sz w:val="24"/>
        </w:rPr>
        <w:t>it</w:t>
      </w:r>
      <w:r w:rsidR="00020E14" w:rsidRPr="004C731D">
        <w:rPr>
          <w:rFonts w:asciiTheme="majorBidi" w:hAnsiTheme="majorBidi"/>
          <w:color w:val="000000"/>
          <w:sz w:val="24"/>
        </w:rPr>
        <w:t xml:space="preserve"> </w:t>
      </w:r>
      <w:r w:rsidRPr="001D0EB6">
        <w:rPr>
          <w:rFonts w:asciiTheme="majorBidi" w:hAnsiTheme="majorBidi"/>
          <w:color w:val="000000"/>
          <w:sz w:val="24"/>
        </w:rPr>
        <w:t>as informal employment. On the other hand, if the individual is an employer, subcontractor</w:t>
      </w:r>
      <w:r w:rsidR="0037078F" w:rsidRPr="001D0EB6">
        <w:rPr>
          <w:rFonts w:asciiTheme="majorBidi" w:hAnsiTheme="majorBidi"/>
          <w:color w:val="000000"/>
          <w:sz w:val="24"/>
        </w:rPr>
        <w:t>,</w:t>
      </w:r>
      <w:r w:rsidRPr="00EC1C56">
        <w:rPr>
          <w:rFonts w:asciiTheme="majorBidi" w:hAnsiTheme="majorBidi"/>
          <w:color w:val="000000"/>
          <w:sz w:val="24"/>
        </w:rPr>
        <w:t xml:space="preserve"> or self-employed</w:t>
      </w:r>
      <w:r w:rsidR="00BC7E65">
        <w:rPr>
          <w:rFonts w:asciiTheme="majorBidi" w:hAnsiTheme="majorBidi" w:cstheme="majorBidi"/>
          <w:color w:val="000000"/>
          <w:sz w:val="24"/>
          <w:szCs w:val="24"/>
        </w:rPr>
        <w:t>,</w:t>
      </w:r>
      <w:r w:rsidRPr="004C731D">
        <w:rPr>
          <w:rFonts w:asciiTheme="majorBidi" w:hAnsiTheme="majorBidi"/>
          <w:color w:val="000000"/>
          <w:sz w:val="24"/>
        </w:rPr>
        <w:t xml:space="preserve"> and if he/she employs less than 15 people, he/she is also classified as informal employment. Finally, </w:t>
      </w:r>
      <w:r w:rsidR="00020E14">
        <w:rPr>
          <w:rFonts w:asciiTheme="majorBidi" w:hAnsiTheme="majorBidi"/>
          <w:color w:val="000000"/>
          <w:sz w:val="24"/>
        </w:rPr>
        <w:t xml:space="preserve">we excluded </w:t>
      </w:r>
      <w:r w:rsidRPr="004C731D">
        <w:rPr>
          <w:rFonts w:asciiTheme="majorBidi" w:hAnsiTheme="majorBidi"/>
          <w:color w:val="000000"/>
          <w:sz w:val="24"/>
        </w:rPr>
        <w:t>the agricultural sector from the sample, as recommended by previous literature.</w:t>
      </w:r>
    </w:p>
    <w:p w14:paraId="394EA62D" w14:textId="30272947" w:rsidR="00E70105" w:rsidRPr="00BE052D" w:rsidRDefault="00E70105" w:rsidP="00DC6EDA">
      <w:pPr>
        <w:spacing w:after="0" w:line="240" w:lineRule="auto"/>
        <w:jc w:val="both"/>
        <w:rPr>
          <w:rFonts w:asciiTheme="majorBidi" w:hAnsiTheme="majorBidi"/>
          <w:color w:val="000000"/>
          <w:sz w:val="24"/>
        </w:rPr>
      </w:pPr>
    </w:p>
    <w:p w14:paraId="696758D0" w14:textId="77777777" w:rsidR="00F16513" w:rsidRPr="00BE052D" w:rsidRDefault="00F16513" w:rsidP="00DC6EDA">
      <w:pPr>
        <w:spacing w:after="0" w:line="240" w:lineRule="auto"/>
        <w:jc w:val="both"/>
        <w:rPr>
          <w:rFonts w:asciiTheme="majorBidi" w:hAnsiTheme="majorBidi"/>
          <w:color w:val="000000"/>
          <w:sz w:val="24"/>
        </w:rPr>
      </w:pPr>
    </w:p>
    <w:p w14:paraId="053D7670" w14:textId="67CF4633" w:rsidR="00F5690D" w:rsidRPr="00294B9C" w:rsidRDefault="00F5690D"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2.2.2 </w:t>
      </w:r>
      <w:r w:rsidR="00EC3F4A" w:rsidRPr="00AA1CA4">
        <w:rPr>
          <w:rFonts w:asciiTheme="majorBidi" w:hAnsiTheme="majorBidi"/>
          <w:b/>
          <w:color w:val="000000"/>
          <w:sz w:val="24"/>
        </w:rPr>
        <w:t>E</w:t>
      </w:r>
      <w:r w:rsidRPr="00AA1CA4">
        <w:rPr>
          <w:rFonts w:asciiTheme="majorBidi" w:hAnsiTheme="majorBidi"/>
          <w:b/>
          <w:color w:val="000000"/>
          <w:sz w:val="24"/>
        </w:rPr>
        <w:t xml:space="preserve">mployment </w:t>
      </w:r>
      <w:r w:rsidR="00F23493" w:rsidRPr="00147E97">
        <w:rPr>
          <w:rFonts w:asciiTheme="majorBidi" w:hAnsiTheme="majorBidi"/>
          <w:b/>
          <w:color w:val="000000"/>
          <w:sz w:val="24"/>
        </w:rPr>
        <w:t>and</w:t>
      </w:r>
      <w:r w:rsidRPr="00BB74DA">
        <w:rPr>
          <w:rFonts w:asciiTheme="majorBidi" w:hAnsiTheme="majorBidi"/>
          <w:b/>
          <w:color w:val="000000"/>
          <w:sz w:val="24"/>
        </w:rPr>
        <w:t xml:space="preserve"> the C</w:t>
      </w:r>
      <w:r w:rsidR="003F2375" w:rsidRPr="00294B9C">
        <w:rPr>
          <w:rFonts w:asciiTheme="majorBidi" w:hAnsiTheme="majorBidi"/>
          <w:b/>
          <w:color w:val="000000"/>
          <w:sz w:val="24"/>
        </w:rPr>
        <w:t>OVID</w:t>
      </w:r>
      <w:r w:rsidRPr="00294B9C">
        <w:rPr>
          <w:rFonts w:asciiTheme="majorBidi" w:hAnsiTheme="majorBidi"/>
          <w:b/>
          <w:color w:val="000000"/>
          <w:sz w:val="24"/>
        </w:rPr>
        <w:t>-19 crisis</w:t>
      </w:r>
      <w:r w:rsidR="00EC3F4A" w:rsidRPr="00294B9C">
        <w:rPr>
          <w:rFonts w:asciiTheme="majorBidi" w:hAnsiTheme="majorBidi"/>
          <w:b/>
          <w:color w:val="000000"/>
          <w:sz w:val="24"/>
        </w:rPr>
        <w:t xml:space="preserve"> in Mexico</w:t>
      </w:r>
      <w:r w:rsidR="00F23493" w:rsidRPr="00294B9C">
        <w:rPr>
          <w:rFonts w:asciiTheme="majorBidi" w:hAnsiTheme="majorBidi"/>
          <w:b/>
          <w:color w:val="000000"/>
          <w:sz w:val="24"/>
        </w:rPr>
        <w:t>: previous findings</w:t>
      </w:r>
      <w:r w:rsidRPr="00294B9C">
        <w:rPr>
          <w:rFonts w:asciiTheme="majorBidi" w:hAnsiTheme="majorBidi"/>
          <w:b/>
          <w:color w:val="000000"/>
          <w:sz w:val="24"/>
        </w:rPr>
        <w:t xml:space="preserve"> </w:t>
      </w:r>
    </w:p>
    <w:p w14:paraId="3EA86865" w14:textId="77777777" w:rsidR="00F16513" w:rsidRPr="00294B9C" w:rsidRDefault="00F16513" w:rsidP="00DC6EDA">
      <w:pPr>
        <w:spacing w:after="0" w:line="240" w:lineRule="auto"/>
        <w:jc w:val="both"/>
        <w:rPr>
          <w:rFonts w:asciiTheme="majorBidi" w:hAnsiTheme="majorBidi"/>
          <w:color w:val="000000"/>
          <w:sz w:val="24"/>
        </w:rPr>
      </w:pPr>
    </w:p>
    <w:p w14:paraId="0C78E396" w14:textId="1E42EA82" w:rsidR="00F5690D" w:rsidRPr="00294B9C" w:rsidRDefault="00F5690D"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The importance of analyzing the impact of </w:t>
      </w:r>
      <w:r w:rsidR="00185D4A" w:rsidRPr="00294B9C">
        <w:rPr>
          <w:rFonts w:asciiTheme="majorBidi" w:hAnsiTheme="majorBidi"/>
          <w:color w:val="000000"/>
          <w:sz w:val="24"/>
        </w:rPr>
        <w:t>COVID</w:t>
      </w:r>
      <w:r w:rsidRPr="00294B9C">
        <w:rPr>
          <w:rFonts w:asciiTheme="majorBidi" w:hAnsiTheme="majorBidi"/>
          <w:color w:val="000000"/>
          <w:sz w:val="24"/>
        </w:rPr>
        <w:t>-19 on employment lies in estimating how long it will take for the Mexican labor market to recover. Given that there is still no consensus on the possible causes and impacts on employment, we present below a set of papers that are divided into two types of analysis: one focused on differences in observed employment and the other on projections of job losses or recovery time.</w:t>
      </w:r>
    </w:p>
    <w:p w14:paraId="375CCD9E" w14:textId="77777777" w:rsidR="00F16513" w:rsidRPr="00294B9C" w:rsidRDefault="00F16513" w:rsidP="00DC6EDA">
      <w:pPr>
        <w:spacing w:after="0" w:line="240" w:lineRule="auto"/>
        <w:jc w:val="both"/>
        <w:rPr>
          <w:rFonts w:asciiTheme="majorBidi" w:hAnsiTheme="majorBidi"/>
          <w:color w:val="000000"/>
          <w:sz w:val="24"/>
        </w:rPr>
      </w:pPr>
    </w:p>
    <w:p w14:paraId="5EA1B722" w14:textId="635D263B" w:rsidR="00F5690D" w:rsidRPr="00BE052D" w:rsidRDefault="00F5690D" w:rsidP="0003745B">
      <w:pPr>
        <w:spacing w:after="0" w:line="240" w:lineRule="auto"/>
        <w:jc w:val="both"/>
        <w:rPr>
          <w:rFonts w:asciiTheme="majorBidi" w:hAnsiTheme="majorBidi"/>
          <w:color w:val="000000"/>
          <w:sz w:val="24"/>
        </w:rPr>
      </w:pPr>
      <w:r w:rsidRPr="00294B9C">
        <w:rPr>
          <w:rFonts w:asciiTheme="majorBidi" w:hAnsiTheme="majorBidi"/>
          <w:color w:val="000000"/>
          <w:sz w:val="24"/>
        </w:rPr>
        <w:t>From the first group of analys</w:t>
      </w:r>
      <w:r w:rsidR="00F16513" w:rsidRPr="00294B9C">
        <w:rPr>
          <w:rFonts w:asciiTheme="majorBidi" w:hAnsiTheme="majorBidi"/>
          <w:color w:val="000000"/>
          <w:sz w:val="24"/>
        </w:rPr>
        <w:t>e</w:t>
      </w:r>
      <w:r w:rsidRPr="00294B9C">
        <w:rPr>
          <w:rFonts w:asciiTheme="majorBidi" w:hAnsiTheme="majorBidi"/>
          <w:color w:val="000000"/>
          <w:sz w:val="24"/>
        </w:rPr>
        <w:t xml:space="preserve">s, Maldonado et </w:t>
      </w:r>
      <w:r w:rsidR="00B97E98" w:rsidRPr="00294B9C">
        <w:rPr>
          <w:rFonts w:asciiTheme="majorBidi" w:hAnsiTheme="majorBidi"/>
          <w:color w:val="000000"/>
          <w:sz w:val="24"/>
        </w:rPr>
        <w:t>a</w:t>
      </w:r>
      <w:r w:rsidRPr="00294B9C">
        <w:rPr>
          <w:rFonts w:asciiTheme="majorBidi" w:hAnsiTheme="majorBidi"/>
          <w:color w:val="000000"/>
          <w:sz w:val="24"/>
        </w:rPr>
        <w:t>l</w:t>
      </w:r>
      <w:r w:rsidR="00B97E98" w:rsidRPr="00294B9C">
        <w:rPr>
          <w:rFonts w:asciiTheme="majorBidi" w:hAnsiTheme="majorBidi"/>
          <w:color w:val="000000"/>
          <w:sz w:val="24"/>
        </w:rPr>
        <w:t>.</w:t>
      </w:r>
      <w:r w:rsidRPr="00294B9C">
        <w:rPr>
          <w:rFonts w:asciiTheme="majorBidi" w:hAnsiTheme="majorBidi"/>
          <w:color w:val="000000"/>
          <w:sz w:val="24"/>
        </w:rPr>
        <w:t xml:space="preserve"> (2020) </w:t>
      </w:r>
      <w:r w:rsidRPr="00F5690D">
        <w:rPr>
          <w:rFonts w:asciiTheme="majorBidi" w:hAnsiTheme="majorBidi" w:cstheme="majorBidi"/>
          <w:color w:val="000000"/>
          <w:sz w:val="24"/>
          <w:szCs w:val="24"/>
        </w:rPr>
        <w:t>stud</w:t>
      </w:r>
      <w:r w:rsidR="0003745B">
        <w:rPr>
          <w:rFonts w:asciiTheme="majorBidi" w:hAnsiTheme="majorBidi" w:cstheme="majorBidi"/>
          <w:color w:val="000000"/>
          <w:sz w:val="24"/>
          <w:szCs w:val="24"/>
        </w:rPr>
        <w:t>ied</w:t>
      </w:r>
      <w:r w:rsidRPr="004C731D">
        <w:rPr>
          <w:rFonts w:asciiTheme="majorBidi" w:hAnsiTheme="majorBidi"/>
          <w:color w:val="000000"/>
          <w:sz w:val="24"/>
        </w:rPr>
        <w:t xml:space="preserve"> the effects of </w:t>
      </w:r>
      <w:r w:rsidR="003F2375" w:rsidRPr="004C731D">
        <w:rPr>
          <w:rFonts w:asciiTheme="majorBidi" w:hAnsiTheme="majorBidi"/>
          <w:color w:val="000000"/>
          <w:sz w:val="24"/>
        </w:rPr>
        <w:t>COVID</w:t>
      </w:r>
      <w:r w:rsidRPr="0016142F">
        <w:rPr>
          <w:rFonts w:asciiTheme="majorBidi" w:hAnsiTheme="majorBidi"/>
          <w:color w:val="000000"/>
          <w:sz w:val="24"/>
        </w:rPr>
        <w:t>-19 on employment and poverty in the country,</w:t>
      </w:r>
      <w:r w:rsidR="0003745B" w:rsidRPr="0016142F">
        <w:rPr>
          <w:rFonts w:asciiTheme="majorBidi" w:hAnsiTheme="majorBidi"/>
          <w:color w:val="000000"/>
          <w:sz w:val="24"/>
        </w:rPr>
        <w:t xml:space="preserve"> </w:t>
      </w:r>
      <w:r w:rsidR="0003745B">
        <w:rPr>
          <w:rFonts w:asciiTheme="majorBidi" w:hAnsiTheme="majorBidi" w:cstheme="majorBidi"/>
          <w:color w:val="000000"/>
          <w:sz w:val="24"/>
          <w:szCs w:val="24"/>
        </w:rPr>
        <w:t>and</w:t>
      </w:r>
      <w:r w:rsidRPr="00F5690D">
        <w:rPr>
          <w:rFonts w:asciiTheme="majorBidi" w:hAnsiTheme="majorBidi" w:cstheme="majorBidi"/>
          <w:color w:val="000000"/>
          <w:sz w:val="24"/>
          <w:szCs w:val="24"/>
        </w:rPr>
        <w:t xml:space="preserve"> </w:t>
      </w:r>
      <w:r w:rsidRPr="004C731D">
        <w:rPr>
          <w:rFonts w:asciiTheme="majorBidi" w:hAnsiTheme="majorBidi"/>
          <w:color w:val="000000"/>
          <w:sz w:val="24"/>
        </w:rPr>
        <w:t xml:space="preserve">they </w:t>
      </w:r>
      <w:r w:rsidR="0003745B">
        <w:rPr>
          <w:rFonts w:asciiTheme="majorBidi" w:hAnsiTheme="majorBidi" w:cstheme="majorBidi"/>
          <w:color w:val="000000"/>
          <w:sz w:val="24"/>
          <w:szCs w:val="24"/>
        </w:rPr>
        <w:t>found</w:t>
      </w:r>
      <w:r w:rsidR="0003745B" w:rsidRPr="004C731D">
        <w:rPr>
          <w:rFonts w:asciiTheme="majorBidi" w:hAnsiTheme="majorBidi"/>
          <w:color w:val="000000"/>
          <w:sz w:val="24"/>
        </w:rPr>
        <w:t xml:space="preserve"> </w:t>
      </w:r>
      <w:r w:rsidRPr="004C731D">
        <w:rPr>
          <w:rFonts w:asciiTheme="majorBidi" w:hAnsiTheme="majorBidi"/>
          <w:color w:val="000000"/>
          <w:sz w:val="24"/>
        </w:rPr>
        <w:t>that working poverty increased almost 16 percentage points fr</w:t>
      </w:r>
      <w:r w:rsidRPr="0016142F">
        <w:rPr>
          <w:rFonts w:asciiTheme="majorBidi" w:hAnsiTheme="majorBidi"/>
          <w:color w:val="000000"/>
          <w:sz w:val="24"/>
        </w:rPr>
        <w:t>om 2018</w:t>
      </w:r>
      <w:r w:rsidR="0003745B">
        <w:rPr>
          <w:rFonts w:asciiTheme="majorBidi" w:hAnsiTheme="majorBidi" w:cstheme="majorBidi"/>
          <w:color w:val="000000"/>
          <w:sz w:val="24"/>
          <w:szCs w:val="24"/>
        </w:rPr>
        <w:t xml:space="preserve"> to </w:t>
      </w:r>
      <w:r w:rsidRPr="004C731D">
        <w:rPr>
          <w:rFonts w:asciiTheme="majorBidi" w:hAnsiTheme="majorBidi"/>
          <w:color w:val="000000"/>
          <w:sz w:val="24"/>
        </w:rPr>
        <w:t xml:space="preserve">2020. As for formal employment between 2019 and 2020, a drop of almost one percentage point was presented, adding 0.5 points for July 2020. For the informal sector, a drop of 5.3 percentage points </w:t>
      </w:r>
      <w:r w:rsidR="0003745B">
        <w:rPr>
          <w:rFonts w:asciiTheme="majorBidi" w:hAnsiTheme="majorBidi" w:cstheme="majorBidi"/>
          <w:color w:val="000000"/>
          <w:sz w:val="24"/>
          <w:szCs w:val="24"/>
        </w:rPr>
        <w:t>was</w:t>
      </w:r>
      <w:r w:rsidR="0003745B" w:rsidRPr="004C731D">
        <w:rPr>
          <w:rFonts w:asciiTheme="majorBidi" w:hAnsiTheme="majorBidi"/>
          <w:color w:val="000000"/>
          <w:sz w:val="24"/>
        </w:rPr>
        <w:t xml:space="preserve"> </w:t>
      </w:r>
      <w:r w:rsidRPr="004C731D">
        <w:rPr>
          <w:rFonts w:asciiTheme="majorBidi" w:hAnsiTheme="majorBidi"/>
          <w:color w:val="000000"/>
          <w:sz w:val="24"/>
        </w:rPr>
        <w:t xml:space="preserve">also reported for July 2020. For its part, Mexico, Como Vamos (2020) </w:t>
      </w:r>
      <w:r w:rsidR="0003745B" w:rsidRPr="00F5690D">
        <w:rPr>
          <w:rFonts w:asciiTheme="majorBidi" w:hAnsiTheme="majorBidi" w:cstheme="majorBidi"/>
          <w:color w:val="000000"/>
          <w:sz w:val="24"/>
          <w:szCs w:val="24"/>
        </w:rPr>
        <w:t>report</w:t>
      </w:r>
      <w:r w:rsidR="0003745B">
        <w:rPr>
          <w:rFonts w:asciiTheme="majorBidi" w:hAnsiTheme="majorBidi" w:cstheme="majorBidi"/>
          <w:color w:val="000000"/>
          <w:sz w:val="24"/>
          <w:szCs w:val="24"/>
        </w:rPr>
        <w:t>ed</w:t>
      </w:r>
      <w:r w:rsidR="0003745B" w:rsidRPr="004C731D">
        <w:rPr>
          <w:rFonts w:asciiTheme="majorBidi" w:hAnsiTheme="majorBidi"/>
          <w:color w:val="000000"/>
          <w:sz w:val="24"/>
        </w:rPr>
        <w:t xml:space="preserve"> </w:t>
      </w:r>
      <w:r w:rsidRPr="004C731D">
        <w:rPr>
          <w:rFonts w:asciiTheme="majorBidi" w:hAnsiTheme="majorBidi"/>
          <w:color w:val="000000"/>
          <w:sz w:val="24"/>
        </w:rPr>
        <w:t xml:space="preserve">a drop of 11.5% in </w:t>
      </w:r>
      <w:r w:rsidR="00AE12DD" w:rsidRPr="0016142F">
        <w:rPr>
          <w:rFonts w:asciiTheme="majorBidi" w:hAnsiTheme="majorBidi"/>
          <w:color w:val="000000"/>
          <w:sz w:val="24"/>
        </w:rPr>
        <w:t xml:space="preserve">the </w:t>
      </w:r>
      <w:r w:rsidRPr="0016142F">
        <w:rPr>
          <w:rFonts w:asciiTheme="majorBidi" w:hAnsiTheme="majorBidi"/>
          <w:color w:val="000000"/>
          <w:sz w:val="24"/>
        </w:rPr>
        <w:t>formal</w:t>
      </w:r>
      <w:r w:rsidRPr="008E7169">
        <w:rPr>
          <w:rFonts w:asciiTheme="majorBidi" w:hAnsiTheme="majorBidi"/>
          <w:color w:val="000000"/>
          <w:sz w:val="24"/>
        </w:rPr>
        <w:t xml:space="preserve"> employment registered at the end of February 2020, with the southern states being the most affected.</w:t>
      </w:r>
    </w:p>
    <w:p w14:paraId="6416A488" w14:textId="77777777" w:rsidR="00F16513" w:rsidRPr="00BE052D" w:rsidRDefault="00F16513" w:rsidP="00DC6EDA">
      <w:pPr>
        <w:spacing w:after="0" w:line="240" w:lineRule="auto"/>
        <w:jc w:val="both"/>
        <w:rPr>
          <w:rFonts w:asciiTheme="majorBidi" w:hAnsiTheme="majorBidi"/>
          <w:color w:val="000000"/>
          <w:sz w:val="24"/>
        </w:rPr>
      </w:pPr>
    </w:p>
    <w:p w14:paraId="6DFF6D65" w14:textId="7CCC1AA0" w:rsidR="00F5690D" w:rsidRPr="00AA1CA4"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lastRenderedPageBreak/>
        <w:t xml:space="preserve">Regarding the second group, Mendoza (2020) </w:t>
      </w:r>
      <w:r w:rsidR="0003745B">
        <w:rPr>
          <w:rFonts w:asciiTheme="majorBidi" w:hAnsiTheme="majorBidi" w:cstheme="majorBidi"/>
          <w:color w:val="000000"/>
          <w:sz w:val="24"/>
          <w:szCs w:val="24"/>
        </w:rPr>
        <w:t>made</w:t>
      </w:r>
      <w:r w:rsidR="0003745B" w:rsidRPr="004C731D">
        <w:rPr>
          <w:rFonts w:asciiTheme="majorBidi" w:hAnsiTheme="majorBidi"/>
          <w:color w:val="000000"/>
          <w:sz w:val="24"/>
        </w:rPr>
        <w:t xml:space="preserve"> </w:t>
      </w:r>
      <w:r w:rsidRPr="004C731D">
        <w:rPr>
          <w:rFonts w:asciiTheme="majorBidi" w:hAnsiTheme="majorBidi"/>
          <w:color w:val="000000"/>
          <w:sz w:val="24"/>
        </w:rPr>
        <w:t xml:space="preserve">projections of the </w:t>
      </w:r>
      <w:r w:rsidR="007F2EFE" w:rsidRPr="0016142F">
        <w:rPr>
          <w:rFonts w:asciiTheme="majorBidi" w:hAnsiTheme="majorBidi"/>
          <w:color w:val="000000"/>
          <w:sz w:val="24"/>
        </w:rPr>
        <w:t xml:space="preserve">PEA </w:t>
      </w:r>
      <w:r w:rsidRPr="0016142F">
        <w:rPr>
          <w:rFonts w:asciiTheme="majorBidi" w:hAnsiTheme="majorBidi"/>
          <w:color w:val="000000"/>
          <w:sz w:val="24"/>
        </w:rPr>
        <w:t xml:space="preserve">in the short term and estimates </w:t>
      </w:r>
      <w:r w:rsidRPr="004C731D">
        <w:rPr>
          <w:rFonts w:asciiTheme="majorBidi" w:hAnsiTheme="majorBidi"/>
          <w:color w:val="000000"/>
          <w:sz w:val="24"/>
        </w:rPr>
        <w:t>there is a possibility of recovery for the first quarter of 2021</w:t>
      </w:r>
      <w:r w:rsidR="0003745B">
        <w:rPr>
          <w:rFonts w:asciiTheme="majorBidi" w:hAnsiTheme="majorBidi" w:cstheme="majorBidi"/>
          <w:color w:val="000000"/>
          <w:sz w:val="24"/>
          <w:szCs w:val="24"/>
        </w:rPr>
        <w:t>;</w:t>
      </w:r>
      <w:r w:rsidRPr="004C731D">
        <w:rPr>
          <w:rFonts w:asciiTheme="majorBidi" w:hAnsiTheme="majorBidi"/>
          <w:color w:val="000000"/>
          <w:sz w:val="24"/>
        </w:rPr>
        <w:t xml:space="preserve"> in the model</w:t>
      </w:r>
      <w:r w:rsidR="0003745B">
        <w:rPr>
          <w:rFonts w:asciiTheme="majorBidi" w:hAnsiTheme="majorBidi" w:cstheme="majorBidi"/>
          <w:color w:val="000000"/>
          <w:sz w:val="24"/>
          <w:szCs w:val="24"/>
        </w:rPr>
        <w:t>,</w:t>
      </w:r>
      <w:r w:rsidRPr="004C731D">
        <w:rPr>
          <w:rFonts w:asciiTheme="majorBidi" w:hAnsiTheme="majorBidi"/>
          <w:color w:val="000000"/>
          <w:sz w:val="24"/>
        </w:rPr>
        <w:t xml:space="preserve"> he used a shock in the Global Index of Economic Activity (IGAE) and thus estimated the impact on the </w:t>
      </w:r>
      <w:r w:rsidR="007F2EFE" w:rsidRPr="00BE052D">
        <w:rPr>
          <w:rFonts w:asciiTheme="majorBidi" w:hAnsiTheme="majorBidi"/>
          <w:color w:val="000000"/>
          <w:sz w:val="24"/>
        </w:rPr>
        <w:t>PEA</w:t>
      </w:r>
      <w:r w:rsidRPr="00BE052D">
        <w:rPr>
          <w:rFonts w:asciiTheme="majorBidi" w:hAnsiTheme="majorBidi"/>
          <w:color w:val="000000"/>
          <w:sz w:val="24"/>
        </w:rPr>
        <w:t>. On the other hand, the Bank of Mexico (2020)</w:t>
      </w:r>
      <w:r w:rsidR="00DA19CF">
        <w:rPr>
          <w:rFonts w:asciiTheme="majorBidi" w:hAnsiTheme="majorBidi"/>
          <w:color w:val="000000"/>
          <w:sz w:val="24"/>
        </w:rPr>
        <w:t>,</w:t>
      </w:r>
      <w:r w:rsidRPr="00BE052D">
        <w:rPr>
          <w:rFonts w:asciiTheme="majorBidi" w:hAnsiTheme="majorBidi"/>
          <w:color w:val="000000"/>
          <w:sz w:val="24"/>
        </w:rPr>
        <w:t xml:space="preserve"> in its quarterly report</w:t>
      </w:r>
      <w:r w:rsidR="00DA19CF">
        <w:rPr>
          <w:rFonts w:asciiTheme="majorBidi" w:hAnsiTheme="majorBidi"/>
          <w:color w:val="000000"/>
          <w:sz w:val="24"/>
        </w:rPr>
        <w:t>,</w:t>
      </w:r>
      <w:r w:rsidRPr="00BE052D">
        <w:rPr>
          <w:rFonts w:asciiTheme="majorBidi" w:hAnsiTheme="majorBidi"/>
          <w:color w:val="000000"/>
          <w:sz w:val="24"/>
        </w:rPr>
        <w:t xml:space="preserve"> predicted a loss of between 800 to 1.4 million jobs </w:t>
      </w:r>
      <w:r w:rsidRPr="004C731D">
        <w:rPr>
          <w:rFonts w:asciiTheme="majorBidi" w:hAnsiTheme="majorBidi"/>
          <w:color w:val="000000"/>
          <w:sz w:val="24"/>
        </w:rPr>
        <w:t>for 2020 and between 200 and 400 thousand formal jobs</w:t>
      </w:r>
      <w:r w:rsidR="00230FFF" w:rsidRPr="00BE052D">
        <w:rPr>
          <w:rFonts w:asciiTheme="majorBidi" w:hAnsiTheme="majorBidi"/>
          <w:color w:val="000000"/>
          <w:sz w:val="24"/>
        </w:rPr>
        <w:t xml:space="preserve"> in 2021</w:t>
      </w:r>
      <w:r w:rsidRPr="00AA1CA4">
        <w:rPr>
          <w:rFonts w:asciiTheme="majorBidi" w:hAnsiTheme="majorBidi"/>
          <w:color w:val="000000"/>
          <w:sz w:val="24"/>
        </w:rPr>
        <w:t>.</w:t>
      </w:r>
    </w:p>
    <w:p w14:paraId="1A184CF1" w14:textId="77777777" w:rsidR="00F16513" w:rsidRPr="00AA1CA4" w:rsidRDefault="00F16513" w:rsidP="00DC6EDA">
      <w:pPr>
        <w:spacing w:after="0" w:line="240" w:lineRule="auto"/>
        <w:jc w:val="both"/>
        <w:rPr>
          <w:rFonts w:asciiTheme="majorBidi" w:hAnsiTheme="majorBidi"/>
          <w:color w:val="000000"/>
          <w:sz w:val="24"/>
        </w:rPr>
      </w:pPr>
    </w:p>
    <w:p w14:paraId="715926D5" w14:textId="3D266060" w:rsidR="00F5690D" w:rsidRPr="004C731D" w:rsidRDefault="00F5690D" w:rsidP="00DC6EDA">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Núñez (2020) </w:t>
      </w:r>
      <w:r w:rsidRPr="00F5690D">
        <w:rPr>
          <w:rFonts w:asciiTheme="majorBidi" w:hAnsiTheme="majorBidi" w:cstheme="majorBidi"/>
          <w:color w:val="000000"/>
          <w:sz w:val="24"/>
          <w:szCs w:val="24"/>
        </w:rPr>
        <w:t>perform</w:t>
      </w:r>
      <w:r w:rsidR="0092708D">
        <w:rPr>
          <w:rFonts w:asciiTheme="majorBidi" w:hAnsiTheme="majorBidi" w:cstheme="majorBidi"/>
          <w:color w:val="000000"/>
          <w:sz w:val="24"/>
          <w:szCs w:val="24"/>
        </w:rPr>
        <w:t>ed</w:t>
      </w:r>
      <w:r w:rsidRPr="004C731D">
        <w:rPr>
          <w:rFonts w:asciiTheme="majorBidi" w:hAnsiTheme="majorBidi"/>
          <w:color w:val="000000"/>
          <w:sz w:val="24"/>
        </w:rPr>
        <w:t xml:space="preserve"> a simple exercise on employment</w:t>
      </w:r>
      <w:r w:rsidR="00DA19CF">
        <w:rPr>
          <w:rFonts w:asciiTheme="majorBidi" w:hAnsiTheme="majorBidi"/>
          <w:color w:val="000000"/>
          <w:sz w:val="24"/>
        </w:rPr>
        <w:t>,</w:t>
      </w:r>
      <w:r w:rsidRPr="004C731D">
        <w:rPr>
          <w:rFonts w:asciiTheme="majorBidi" w:hAnsiTheme="majorBidi"/>
          <w:color w:val="000000"/>
          <w:sz w:val="24"/>
        </w:rPr>
        <w:t xml:space="preserve"> assuming that if the scenario remains as in</w:t>
      </w:r>
      <w:r w:rsidRPr="00BE052D">
        <w:rPr>
          <w:rFonts w:asciiTheme="majorBidi" w:hAnsiTheme="majorBidi"/>
          <w:color w:val="000000"/>
          <w:sz w:val="24"/>
        </w:rPr>
        <w:t xml:space="preserve"> 2019, a fall in employment of 3% would be expected, but if the trend is as in European countries, a contraction in employment between 4.5</w:t>
      </w:r>
      <w:r w:rsidRPr="004C731D">
        <w:rPr>
          <w:rFonts w:asciiTheme="majorBidi" w:hAnsiTheme="majorBidi"/>
          <w:color w:val="000000"/>
          <w:sz w:val="24"/>
        </w:rPr>
        <w:t xml:space="preserve"> and 6% can be expected.</w:t>
      </w:r>
    </w:p>
    <w:p w14:paraId="5E2ACAF9" w14:textId="77777777" w:rsidR="00B17EE0" w:rsidRPr="00BE052D" w:rsidRDefault="00B17EE0" w:rsidP="00DC6EDA">
      <w:pPr>
        <w:spacing w:after="0" w:line="240" w:lineRule="auto"/>
        <w:jc w:val="both"/>
        <w:rPr>
          <w:rFonts w:asciiTheme="majorBidi" w:hAnsiTheme="majorBidi"/>
          <w:color w:val="000000"/>
          <w:sz w:val="24"/>
        </w:rPr>
      </w:pPr>
    </w:p>
    <w:p w14:paraId="2E1A0802" w14:textId="2DCD29F5" w:rsidR="00F5690D" w:rsidRPr="0016142F"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Altamirano et al. (2020) proposed three possible scenarios: short-term crisis, medium-term crisis</w:t>
      </w:r>
      <w:r w:rsidR="00B17EE0" w:rsidRPr="00AA1CA4">
        <w:rPr>
          <w:rFonts w:asciiTheme="majorBidi" w:hAnsiTheme="majorBidi"/>
          <w:color w:val="000000"/>
          <w:sz w:val="24"/>
        </w:rPr>
        <w:t>,</w:t>
      </w:r>
      <w:r w:rsidRPr="00AA1CA4">
        <w:rPr>
          <w:rFonts w:asciiTheme="majorBidi" w:hAnsiTheme="majorBidi"/>
          <w:color w:val="000000"/>
          <w:sz w:val="24"/>
        </w:rPr>
        <w:t xml:space="preserve"> and prolonged recession. They estimated an analysis of the impact in terms of formal jobs lost. For Mexico</w:t>
      </w:r>
      <w:r w:rsidR="00B17EE0" w:rsidRPr="00294B9C">
        <w:rPr>
          <w:rFonts w:asciiTheme="majorBidi" w:hAnsiTheme="majorBidi"/>
          <w:color w:val="000000"/>
          <w:sz w:val="24"/>
        </w:rPr>
        <w:t>,</w:t>
      </w:r>
      <w:r w:rsidRPr="00294B9C">
        <w:rPr>
          <w:rFonts w:asciiTheme="majorBidi" w:hAnsiTheme="majorBidi"/>
          <w:color w:val="000000"/>
          <w:sz w:val="24"/>
        </w:rPr>
        <w:t xml:space="preserve"> they estimated around -4.1% of jobs lost under the first scenario, -7.7% under a medium-term crisis</w:t>
      </w:r>
      <w:r w:rsidR="00B17EE0" w:rsidRPr="00294B9C">
        <w:rPr>
          <w:rFonts w:asciiTheme="majorBidi" w:hAnsiTheme="majorBidi"/>
          <w:color w:val="000000"/>
          <w:sz w:val="24"/>
        </w:rPr>
        <w:t>,</w:t>
      </w:r>
      <w:r w:rsidRPr="00294B9C">
        <w:rPr>
          <w:rFonts w:asciiTheme="majorBidi" w:hAnsiTheme="majorBidi"/>
          <w:color w:val="000000"/>
          <w:sz w:val="24"/>
        </w:rPr>
        <w:t xml:space="preserve"> and</w:t>
      </w:r>
      <w:r w:rsidR="00467FCD">
        <w:rPr>
          <w:rFonts w:asciiTheme="majorBidi" w:hAnsiTheme="majorBidi" w:cstheme="majorBidi"/>
          <w:color w:val="000000"/>
          <w:sz w:val="24"/>
          <w:szCs w:val="24"/>
        </w:rPr>
        <w:t>,</w:t>
      </w:r>
      <w:r w:rsidRPr="004C731D">
        <w:rPr>
          <w:rFonts w:asciiTheme="majorBidi" w:hAnsiTheme="majorBidi"/>
          <w:color w:val="000000"/>
          <w:sz w:val="24"/>
        </w:rPr>
        <w:t xml:space="preserve"> finally</w:t>
      </w:r>
      <w:r w:rsidR="00467FCD">
        <w:rPr>
          <w:rFonts w:asciiTheme="majorBidi" w:hAnsiTheme="majorBidi" w:cstheme="majorBidi"/>
          <w:color w:val="000000"/>
          <w:sz w:val="24"/>
          <w:szCs w:val="24"/>
        </w:rPr>
        <w:t>,</w:t>
      </w:r>
      <w:r w:rsidRPr="004C731D">
        <w:rPr>
          <w:rFonts w:asciiTheme="majorBidi" w:hAnsiTheme="majorBidi"/>
          <w:color w:val="000000"/>
          <w:sz w:val="24"/>
        </w:rPr>
        <w:t xml:space="preserve"> -14.4% under a worst</w:t>
      </w:r>
      <w:r w:rsidR="00B17EE0" w:rsidRPr="004C731D">
        <w:rPr>
          <w:rFonts w:asciiTheme="majorBidi" w:hAnsiTheme="majorBidi"/>
          <w:color w:val="000000"/>
          <w:sz w:val="24"/>
        </w:rPr>
        <w:t>-</w:t>
      </w:r>
      <w:r w:rsidRPr="0016142F">
        <w:rPr>
          <w:rFonts w:asciiTheme="majorBidi" w:hAnsiTheme="majorBidi"/>
          <w:color w:val="000000"/>
          <w:sz w:val="24"/>
        </w:rPr>
        <w:t>case scenario.</w:t>
      </w:r>
    </w:p>
    <w:p w14:paraId="2E530E3C" w14:textId="77777777" w:rsidR="00B17EE0" w:rsidRPr="00BE052D" w:rsidRDefault="00B17EE0" w:rsidP="00DC6EDA">
      <w:pPr>
        <w:spacing w:after="0" w:line="240" w:lineRule="auto"/>
        <w:jc w:val="both"/>
        <w:rPr>
          <w:rFonts w:asciiTheme="majorBidi" w:hAnsiTheme="majorBidi"/>
          <w:color w:val="000000"/>
          <w:sz w:val="24"/>
        </w:rPr>
      </w:pPr>
    </w:p>
    <w:p w14:paraId="16A9A5F7" w14:textId="13105D06" w:rsidR="00F5690D" w:rsidRPr="0016142F"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Jiménez-Bandala et al. (2020) conducted an analysis with data on mobility in</w:t>
      </w:r>
      <w:r w:rsidRPr="00AA1CA4">
        <w:rPr>
          <w:rFonts w:asciiTheme="majorBidi" w:hAnsiTheme="majorBidi"/>
          <w:color w:val="000000"/>
          <w:sz w:val="24"/>
        </w:rPr>
        <w:t xml:space="preserve"> workplaces and the rate of infection and found that a decrease in mobility reduces the rate of infection</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however, in some places</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this reduction did not occur</w:t>
      </w:r>
      <w:r w:rsidR="00A045E6">
        <w:rPr>
          <w:rFonts w:asciiTheme="majorBidi" w:hAnsiTheme="majorBidi" w:cstheme="majorBidi"/>
          <w:color w:val="000000"/>
          <w:sz w:val="24"/>
          <w:szCs w:val="24"/>
        </w:rPr>
        <w:t>,</w:t>
      </w:r>
      <w:r w:rsidRPr="004C731D">
        <w:rPr>
          <w:rFonts w:asciiTheme="majorBidi" w:hAnsiTheme="majorBidi"/>
          <w:color w:val="000000"/>
          <w:sz w:val="24"/>
        </w:rPr>
        <w:t xml:space="preserve"> and this was </w:t>
      </w:r>
      <w:r w:rsidR="00B43EC9" w:rsidRPr="004C731D">
        <w:rPr>
          <w:rFonts w:asciiTheme="majorBidi" w:hAnsiTheme="majorBidi"/>
          <w:color w:val="000000"/>
          <w:sz w:val="24"/>
        </w:rPr>
        <w:t>because</w:t>
      </w:r>
      <w:r w:rsidRPr="0016142F">
        <w:rPr>
          <w:rFonts w:asciiTheme="majorBidi" w:hAnsiTheme="majorBidi"/>
          <w:color w:val="000000"/>
          <w:sz w:val="24"/>
        </w:rPr>
        <w:t xml:space="preserve"> </w:t>
      </w:r>
      <w:r w:rsidRPr="004C731D">
        <w:rPr>
          <w:rFonts w:asciiTheme="majorBidi" w:hAnsiTheme="majorBidi"/>
          <w:color w:val="000000"/>
          <w:sz w:val="24"/>
        </w:rPr>
        <w:t>there was a high rate of informal employment</w:t>
      </w:r>
      <w:r w:rsidR="00A045E6" w:rsidRPr="00A045E6">
        <w:rPr>
          <w:rFonts w:asciiTheme="majorBidi" w:hAnsiTheme="majorBidi" w:cstheme="majorBidi"/>
          <w:color w:val="000000"/>
          <w:sz w:val="24"/>
          <w:szCs w:val="24"/>
        </w:rPr>
        <w:t xml:space="preserve"> </w:t>
      </w:r>
      <w:r w:rsidR="00A045E6" w:rsidRPr="00F5690D">
        <w:rPr>
          <w:rFonts w:asciiTheme="majorBidi" w:hAnsiTheme="majorBidi" w:cstheme="majorBidi"/>
          <w:color w:val="000000"/>
          <w:sz w:val="24"/>
          <w:szCs w:val="24"/>
        </w:rPr>
        <w:t>in these places</w:t>
      </w:r>
      <w:r w:rsidRPr="004C731D">
        <w:rPr>
          <w:rFonts w:asciiTheme="majorBidi" w:hAnsiTheme="majorBidi"/>
          <w:color w:val="000000"/>
          <w:sz w:val="24"/>
        </w:rPr>
        <w:t>. On the other hand, Huesca et al. (2020) conducted an analysis focused on digital employment, using Markov chains, projecting that the proportion of digital employment will be 49% and unemployment</w:t>
      </w:r>
      <w:r w:rsidR="00A045E6" w:rsidRPr="004C731D">
        <w:rPr>
          <w:rFonts w:asciiTheme="majorBidi" w:hAnsiTheme="majorBidi"/>
          <w:color w:val="000000"/>
          <w:sz w:val="24"/>
        </w:rPr>
        <w:t xml:space="preserve"> </w:t>
      </w:r>
      <w:r w:rsidR="00A045E6">
        <w:rPr>
          <w:rFonts w:asciiTheme="majorBidi" w:hAnsiTheme="majorBidi" w:cstheme="majorBidi"/>
          <w:color w:val="000000"/>
          <w:sz w:val="24"/>
          <w:szCs w:val="24"/>
        </w:rPr>
        <w:t>will be</w:t>
      </w:r>
      <w:r w:rsidRPr="00F5690D">
        <w:rPr>
          <w:rFonts w:asciiTheme="majorBidi" w:hAnsiTheme="majorBidi" w:cstheme="majorBidi"/>
          <w:color w:val="000000"/>
          <w:sz w:val="24"/>
          <w:szCs w:val="24"/>
        </w:rPr>
        <w:t xml:space="preserve"> 6% </w:t>
      </w:r>
      <w:r w:rsidR="00A045E6" w:rsidRPr="00F5690D">
        <w:rPr>
          <w:rFonts w:asciiTheme="majorBidi" w:hAnsiTheme="majorBidi" w:cstheme="majorBidi"/>
          <w:color w:val="000000"/>
          <w:sz w:val="24"/>
          <w:szCs w:val="24"/>
        </w:rPr>
        <w:t>by 2021</w:t>
      </w:r>
      <w:r w:rsidR="0028779D">
        <w:rPr>
          <w:rFonts w:asciiTheme="majorBidi" w:hAnsiTheme="majorBidi" w:cstheme="majorBidi"/>
          <w:color w:val="000000"/>
          <w:sz w:val="24"/>
          <w:szCs w:val="24"/>
        </w:rPr>
        <w:t>,</w:t>
      </w:r>
      <w:r w:rsidR="00A045E6" w:rsidRPr="00A46182">
        <w:rPr>
          <w:rFonts w:asciiTheme="majorBidi" w:hAnsiTheme="majorBidi"/>
          <w:color w:val="000000"/>
          <w:sz w:val="24"/>
        </w:rPr>
        <w:t xml:space="preserve"> </w:t>
      </w:r>
      <w:r w:rsidR="0028779D">
        <w:rPr>
          <w:rFonts w:asciiTheme="majorBidi" w:hAnsiTheme="majorBidi"/>
          <w:color w:val="000000"/>
          <w:sz w:val="24"/>
        </w:rPr>
        <w:t>as well as</w:t>
      </w:r>
      <w:r w:rsidRPr="004C731D">
        <w:rPr>
          <w:rFonts w:asciiTheme="majorBidi" w:hAnsiTheme="majorBidi"/>
          <w:color w:val="000000"/>
          <w:sz w:val="24"/>
        </w:rPr>
        <w:t xml:space="preserve"> projecting an increase in labor informality as a result of this type of employment.</w:t>
      </w:r>
    </w:p>
    <w:p w14:paraId="39B01090" w14:textId="77777777" w:rsidR="00EA61AA" w:rsidRPr="00BE052D" w:rsidRDefault="00EA61AA" w:rsidP="00DC6EDA">
      <w:pPr>
        <w:spacing w:after="0" w:line="240" w:lineRule="auto"/>
        <w:jc w:val="both"/>
        <w:rPr>
          <w:rFonts w:asciiTheme="majorBidi" w:hAnsiTheme="majorBidi"/>
          <w:color w:val="000000"/>
          <w:sz w:val="24"/>
        </w:rPr>
      </w:pPr>
    </w:p>
    <w:p w14:paraId="59D15551" w14:textId="12F41FF3" w:rsidR="00F5690D" w:rsidRPr="004C731D"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Based on the previous literature, </w:t>
      </w:r>
      <w:r w:rsidR="0028779D">
        <w:rPr>
          <w:rFonts w:asciiTheme="majorBidi" w:hAnsiTheme="majorBidi"/>
          <w:color w:val="000000"/>
          <w:sz w:val="24"/>
        </w:rPr>
        <w:t>various</w:t>
      </w:r>
      <w:r w:rsidR="0028779D" w:rsidRPr="004C731D">
        <w:rPr>
          <w:rFonts w:asciiTheme="majorBidi" w:hAnsiTheme="majorBidi"/>
          <w:color w:val="000000"/>
          <w:sz w:val="24"/>
        </w:rPr>
        <w:t xml:space="preserve"> </w:t>
      </w:r>
      <w:r w:rsidRPr="004C731D">
        <w:rPr>
          <w:rFonts w:asciiTheme="majorBidi" w:hAnsiTheme="majorBidi"/>
          <w:color w:val="000000"/>
          <w:sz w:val="24"/>
        </w:rPr>
        <w:t xml:space="preserve">types of employment </w:t>
      </w:r>
      <w:r w:rsidRPr="0016142F">
        <w:rPr>
          <w:rFonts w:asciiTheme="majorBidi" w:hAnsiTheme="majorBidi"/>
          <w:color w:val="000000"/>
          <w:sz w:val="24"/>
        </w:rPr>
        <w:t>impact analysis, but it should be added that taking into account the structure of the Mexican labor market pro</w:t>
      </w:r>
      <w:r w:rsidRPr="00BE052D">
        <w:rPr>
          <w:rFonts w:asciiTheme="majorBidi" w:hAnsiTheme="majorBidi"/>
          <w:color w:val="000000"/>
          <w:sz w:val="24"/>
        </w:rPr>
        <w:t xml:space="preserve">vides a better understanding of the subject. For this reason, the main contribution of our work is to make estimates, taking into account the heterogeneity of the labor market, which is why we differentiate between the structure of employment (formal and informal) and </w:t>
      </w:r>
      <w:r w:rsidRPr="004C731D">
        <w:rPr>
          <w:rFonts w:asciiTheme="majorBidi" w:hAnsiTheme="majorBidi"/>
          <w:color w:val="000000"/>
          <w:sz w:val="24"/>
        </w:rPr>
        <w:t>gender (men and women). Once the market is segmented, we proceed to perform an employment impact analysis, which isolates the first C</w:t>
      </w:r>
      <w:r w:rsidR="003F2375" w:rsidRPr="004C731D">
        <w:rPr>
          <w:rFonts w:asciiTheme="majorBidi" w:hAnsiTheme="majorBidi"/>
          <w:color w:val="000000"/>
          <w:sz w:val="24"/>
        </w:rPr>
        <w:t>OVID</w:t>
      </w:r>
      <w:r w:rsidRPr="0016142F">
        <w:rPr>
          <w:rFonts w:asciiTheme="majorBidi" w:hAnsiTheme="majorBidi"/>
          <w:color w:val="000000"/>
          <w:sz w:val="24"/>
        </w:rPr>
        <w:t xml:space="preserve">-19 shock (negative exogenous shock) from the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effects</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produced by this crisis.</w:t>
      </w:r>
    </w:p>
    <w:p w14:paraId="2DF5ED4D" w14:textId="77777777" w:rsidR="000C1084" w:rsidRPr="00BE052D" w:rsidRDefault="000C1084" w:rsidP="00DC6EDA">
      <w:pPr>
        <w:spacing w:after="0" w:line="240" w:lineRule="auto"/>
        <w:jc w:val="both"/>
        <w:rPr>
          <w:rFonts w:asciiTheme="majorBidi" w:hAnsiTheme="majorBidi"/>
          <w:color w:val="000000"/>
        </w:rPr>
      </w:pPr>
    </w:p>
    <w:p w14:paraId="32A0D4C6" w14:textId="77777777" w:rsidR="00613E23" w:rsidRDefault="00F5690D" w:rsidP="00613E23">
      <w:pPr>
        <w:pStyle w:val="NormalWeb"/>
        <w:spacing w:after="0" w:afterAutospacing="0"/>
        <w:rPr>
          <w:b/>
          <w:color w:val="000000"/>
        </w:rPr>
      </w:pPr>
      <w:r w:rsidRPr="00BE052D">
        <w:rPr>
          <w:b/>
          <w:color w:val="000000"/>
        </w:rPr>
        <w:t>3. Data and m</w:t>
      </w:r>
      <w:r w:rsidRPr="00AA1CA4">
        <w:rPr>
          <w:b/>
          <w:color w:val="000000"/>
        </w:rPr>
        <w:t>ethodology</w:t>
      </w:r>
    </w:p>
    <w:p w14:paraId="48A534DC" w14:textId="363BE3D9" w:rsidR="00F5690D" w:rsidRPr="00AA1CA4" w:rsidRDefault="00F5690D" w:rsidP="00613E23">
      <w:pPr>
        <w:pStyle w:val="NormalWeb"/>
        <w:spacing w:after="0" w:afterAutospacing="0"/>
        <w:rPr>
          <w:b/>
          <w:color w:val="000000"/>
        </w:rPr>
      </w:pPr>
      <w:r w:rsidRPr="00AA1CA4">
        <w:rPr>
          <w:b/>
          <w:color w:val="000000"/>
        </w:rPr>
        <w:t>3.1 Data</w:t>
      </w:r>
    </w:p>
    <w:p w14:paraId="0A518DCF" w14:textId="77777777" w:rsidR="00D93DB3" w:rsidRPr="00AA1CA4" w:rsidRDefault="00D93DB3" w:rsidP="00DC6EDA">
      <w:pPr>
        <w:spacing w:after="0" w:line="240" w:lineRule="auto"/>
        <w:jc w:val="both"/>
        <w:rPr>
          <w:rFonts w:asciiTheme="majorBidi" w:hAnsiTheme="majorBidi"/>
          <w:color w:val="000000"/>
          <w:sz w:val="24"/>
        </w:rPr>
      </w:pPr>
    </w:p>
    <w:p w14:paraId="38F79D71" w14:textId="4FC3A31C"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For the analysis, </w:t>
      </w:r>
      <w:r w:rsidR="006F1C7D" w:rsidRPr="00AF4A07">
        <w:rPr>
          <w:rFonts w:asciiTheme="majorBidi" w:hAnsiTheme="majorBidi"/>
          <w:color w:val="000000"/>
          <w:sz w:val="24"/>
        </w:rPr>
        <w:t xml:space="preserve">we </w:t>
      </w:r>
      <w:r w:rsidR="00BD7A9B">
        <w:rPr>
          <w:rFonts w:asciiTheme="majorBidi" w:hAnsiTheme="majorBidi"/>
          <w:color w:val="000000"/>
          <w:sz w:val="24"/>
        </w:rPr>
        <w:t>performed</w:t>
      </w:r>
      <w:r w:rsidR="00BD7A9B" w:rsidRPr="004C731D">
        <w:rPr>
          <w:rFonts w:asciiTheme="majorBidi" w:hAnsiTheme="majorBidi"/>
          <w:color w:val="000000"/>
          <w:sz w:val="24"/>
        </w:rPr>
        <w:t xml:space="preserve"> </w:t>
      </w:r>
      <w:r w:rsidR="006F1C7D" w:rsidRPr="004C731D">
        <w:rPr>
          <w:rFonts w:asciiTheme="majorBidi" w:hAnsiTheme="majorBidi"/>
          <w:color w:val="000000"/>
          <w:sz w:val="24"/>
        </w:rPr>
        <w:t>a homologation of two</w:t>
      </w:r>
      <w:r w:rsidRPr="0016142F">
        <w:rPr>
          <w:rFonts w:asciiTheme="majorBidi" w:hAnsiTheme="majorBidi"/>
          <w:color w:val="000000"/>
          <w:sz w:val="24"/>
        </w:rPr>
        <w:t xml:space="preserve"> </w:t>
      </w:r>
      <w:r w:rsidR="006F1C7D" w:rsidRPr="0016142F">
        <w:rPr>
          <w:rFonts w:asciiTheme="majorBidi" w:hAnsiTheme="majorBidi"/>
          <w:color w:val="000000"/>
          <w:sz w:val="24"/>
        </w:rPr>
        <w:t xml:space="preserve">existing employment </w:t>
      </w:r>
      <w:r w:rsidRPr="008E7169">
        <w:rPr>
          <w:rFonts w:asciiTheme="majorBidi" w:hAnsiTheme="majorBidi"/>
          <w:color w:val="000000"/>
          <w:sz w:val="24"/>
        </w:rPr>
        <w:t>surveys</w:t>
      </w:r>
      <w:r w:rsidRPr="00294B9C">
        <w:rPr>
          <w:rFonts w:asciiTheme="majorBidi" w:hAnsiTheme="majorBidi"/>
          <w:color w:val="000000"/>
          <w:sz w:val="24"/>
        </w:rPr>
        <w:t xml:space="preserve"> </w:t>
      </w:r>
      <w:r w:rsidR="00BC029F">
        <w:rPr>
          <w:rFonts w:asciiTheme="majorBidi" w:hAnsiTheme="majorBidi" w:cstheme="majorBidi"/>
          <w:color w:val="000000"/>
          <w:sz w:val="24"/>
          <w:szCs w:val="24"/>
        </w:rPr>
        <w:t>performed by</w:t>
      </w:r>
      <w:r w:rsidR="00BC029F" w:rsidRPr="004C731D">
        <w:rPr>
          <w:rFonts w:asciiTheme="majorBidi" w:hAnsiTheme="majorBidi"/>
          <w:color w:val="000000"/>
          <w:sz w:val="24"/>
        </w:rPr>
        <w:t xml:space="preserve"> </w:t>
      </w:r>
      <w:r w:rsidRPr="004C731D">
        <w:rPr>
          <w:rFonts w:asciiTheme="majorBidi" w:hAnsiTheme="majorBidi"/>
          <w:color w:val="000000"/>
          <w:sz w:val="24"/>
        </w:rPr>
        <w:t>the National Urban Employment Survey (ENEU) for the years 1987 to 2004 and the National Occupation and Employment Survey (ENOE) for the ye</w:t>
      </w:r>
      <w:r w:rsidRPr="00BE052D">
        <w:rPr>
          <w:rFonts w:asciiTheme="majorBidi" w:hAnsiTheme="majorBidi"/>
          <w:color w:val="000000"/>
          <w:sz w:val="24"/>
        </w:rPr>
        <w:t>ars 2005 to 2019.</w:t>
      </w:r>
      <w:r w:rsidR="006F1C7D" w:rsidRPr="00BE052D">
        <w:rPr>
          <w:rFonts w:asciiTheme="majorBidi" w:hAnsiTheme="majorBidi"/>
          <w:color w:val="000000"/>
          <w:sz w:val="24"/>
        </w:rPr>
        <w:t xml:space="preserve"> The bases were standardized to build aggregate data series from the micro-foundations of the labor market.</w:t>
      </w:r>
    </w:p>
    <w:p w14:paraId="5055E6A0" w14:textId="77777777" w:rsidR="00D93DB3" w:rsidRPr="00AA1CA4" w:rsidRDefault="00D93DB3" w:rsidP="00DC6EDA">
      <w:pPr>
        <w:spacing w:after="0" w:line="240" w:lineRule="auto"/>
        <w:jc w:val="both"/>
        <w:rPr>
          <w:rFonts w:asciiTheme="majorBidi" w:hAnsiTheme="majorBidi"/>
          <w:color w:val="000000"/>
          <w:sz w:val="24"/>
        </w:rPr>
      </w:pPr>
    </w:p>
    <w:p w14:paraId="56F2AE08" w14:textId="1F555692" w:rsidR="00F5690D" w:rsidRPr="00BE052D" w:rsidRDefault="00BC029F" w:rsidP="00BC029F">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w:t>
      </w:r>
      <w:r w:rsidRPr="00F5690D">
        <w:rPr>
          <w:rFonts w:asciiTheme="majorBidi" w:hAnsiTheme="majorBidi" w:cstheme="majorBidi"/>
          <w:color w:val="000000"/>
          <w:sz w:val="24"/>
          <w:szCs w:val="24"/>
        </w:rPr>
        <w:t xml:space="preserve">INEGI </w:t>
      </w:r>
      <w:r>
        <w:rPr>
          <w:rFonts w:asciiTheme="majorBidi" w:hAnsiTheme="majorBidi" w:cstheme="majorBidi"/>
          <w:color w:val="000000"/>
          <w:sz w:val="24"/>
          <w:szCs w:val="24"/>
        </w:rPr>
        <w:t>publishes t</w:t>
      </w:r>
      <w:r w:rsidR="00F5690D" w:rsidRPr="00F5690D">
        <w:rPr>
          <w:rFonts w:asciiTheme="majorBidi" w:hAnsiTheme="majorBidi" w:cstheme="majorBidi"/>
          <w:color w:val="000000"/>
          <w:sz w:val="24"/>
          <w:szCs w:val="24"/>
        </w:rPr>
        <w:t xml:space="preserve">he </w:t>
      </w:r>
      <w:r w:rsidR="00F5690D" w:rsidRPr="004C731D">
        <w:rPr>
          <w:rFonts w:asciiTheme="majorBidi" w:hAnsiTheme="majorBidi"/>
          <w:color w:val="000000"/>
          <w:sz w:val="24"/>
        </w:rPr>
        <w:t>ENEU and the ENOE to capture data on</w:t>
      </w:r>
      <w:r w:rsidR="00F5690D" w:rsidRPr="00F5690D">
        <w:rPr>
          <w:rFonts w:asciiTheme="majorBidi" w:hAnsiTheme="majorBidi" w:cstheme="majorBidi"/>
          <w:color w:val="000000"/>
          <w:sz w:val="24"/>
          <w:szCs w:val="24"/>
        </w:rPr>
        <w:t xml:space="preserve"> </w:t>
      </w:r>
      <w:r>
        <w:rPr>
          <w:rFonts w:asciiTheme="majorBidi" w:hAnsiTheme="majorBidi" w:cstheme="majorBidi"/>
          <w:color w:val="000000"/>
          <w:sz w:val="24"/>
          <w:szCs w:val="24"/>
        </w:rPr>
        <w:t>the</w:t>
      </w:r>
      <w:r w:rsidRPr="004C731D">
        <w:rPr>
          <w:rFonts w:asciiTheme="majorBidi" w:hAnsiTheme="majorBidi"/>
          <w:color w:val="000000"/>
          <w:sz w:val="24"/>
        </w:rPr>
        <w:t xml:space="preserve"> </w:t>
      </w:r>
      <w:r w:rsidR="00F5690D" w:rsidRPr="004C731D">
        <w:rPr>
          <w:rFonts w:asciiTheme="majorBidi" w:hAnsiTheme="majorBidi"/>
          <w:color w:val="000000"/>
          <w:sz w:val="24"/>
        </w:rPr>
        <w:t>employment and sociodemographic characteristics in our country.</w:t>
      </w:r>
    </w:p>
    <w:p w14:paraId="7D51E123" w14:textId="77777777" w:rsidR="00D93DB3" w:rsidRPr="00BE052D" w:rsidRDefault="00D93DB3" w:rsidP="00DC6EDA">
      <w:pPr>
        <w:spacing w:after="0" w:line="240" w:lineRule="auto"/>
        <w:jc w:val="both"/>
        <w:rPr>
          <w:rFonts w:asciiTheme="majorBidi" w:hAnsiTheme="majorBidi"/>
          <w:color w:val="000000"/>
          <w:sz w:val="24"/>
        </w:rPr>
      </w:pPr>
    </w:p>
    <w:p w14:paraId="6DA4CD23" w14:textId="6EC1CC74"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lastRenderedPageBreak/>
        <w:t>The surveys have the particularity of being a dynamic panel</w:t>
      </w:r>
      <w:r w:rsidR="00BC029F">
        <w:rPr>
          <w:rFonts w:asciiTheme="majorBidi" w:hAnsiTheme="majorBidi" w:cstheme="majorBidi"/>
          <w:color w:val="000000"/>
          <w:sz w:val="24"/>
          <w:szCs w:val="24"/>
        </w:rPr>
        <w:t>—</w:t>
      </w:r>
      <w:r w:rsidRPr="004C731D">
        <w:rPr>
          <w:rFonts w:asciiTheme="majorBidi" w:hAnsiTheme="majorBidi"/>
          <w:color w:val="000000"/>
          <w:sz w:val="24"/>
        </w:rPr>
        <w:t xml:space="preserve">that is, they follow an individual for five quarters and thus allow us to alternate each quarter to 20% of the sample. For the present research, we </w:t>
      </w:r>
      <w:r w:rsidRPr="00A46182">
        <w:rPr>
          <w:rFonts w:asciiTheme="majorBidi" w:hAnsiTheme="majorBidi"/>
          <w:color w:val="000000"/>
          <w:sz w:val="24"/>
        </w:rPr>
        <w:t>use</w:t>
      </w:r>
      <w:r w:rsidR="00BD7A9B">
        <w:rPr>
          <w:rFonts w:asciiTheme="majorBidi" w:hAnsiTheme="majorBidi"/>
          <w:color w:val="000000"/>
          <w:sz w:val="24"/>
        </w:rPr>
        <w:t>d</w:t>
      </w:r>
      <w:r w:rsidRPr="004C731D">
        <w:rPr>
          <w:rFonts w:asciiTheme="majorBidi" w:hAnsiTheme="majorBidi"/>
          <w:color w:val="000000"/>
          <w:sz w:val="24"/>
        </w:rPr>
        <w:t xml:space="preserve"> the benefits of cross-sectional data to construct quarterly aggregate data</w:t>
      </w:r>
      <w:r w:rsidR="00BD7A9B">
        <w:rPr>
          <w:rFonts w:asciiTheme="majorBidi" w:hAnsiTheme="majorBidi" w:cstheme="majorBidi"/>
          <w:color w:val="000000"/>
          <w:sz w:val="24"/>
          <w:szCs w:val="24"/>
        </w:rPr>
        <w:t xml:space="preserve"> (i.e.,</w:t>
      </w:r>
      <w:r w:rsidRPr="004C731D">
        <w:rPr>
          <w:rFonts w:asciiTheme="majorBidi" w:hAnsiTheme="majorBidi"/>
          <w:color w:val="000000"/>
          <w:sz w:val="24"/>
        </w:rPr>
        <w:t xml:space="preserve"> employment time series</w:t>
      </w:r>
      <w:r w:rsidR="00BD7A9B">
        <w:rPr>
          <w:rFonts w:asciiTheme="majorBidi" w:hAnsiTheme="majorBidi" w:cstheme="majorBidi"/>
          <w:color w:val="000000"/>
          <w:sz w:val="24"/>
          <w:szCs w:val="24"/>
        </w:rPr>
        <w:t>)</w:t>
      </w:r>
      <w:r w:rsidR="00BD7A9B" w:rsidRPr="004C731D">
        <w:rPr>
          <w:rFonts w:asciiTheme="majorBidi" w:hAnsiTheme="majorBidi"/>
          <w:color w:val="000000"/>
          <w:sz w:val="24"/>
        </w:rPr>
        <w:t xml:space="preserve"> </w:t>
      </w:r>
      <w:r w:rsidRPr="004C731D">
        <w:rPr>
          <w:rFonts w:asciiTheme="majorBidi" w:hAnsiTheme="majorBidi"/>
          <w:color w:val="000000"/>
          <w:sz w:val="24"/>
        </w:rPr>
        <w:t>because we are interested in obtaining the behavior in the aggregate of these series.</w:t>
      </w:r>
    </w:p>
    <w:p w14:paraId="771AC6CE" w14:textId="77777777" w:rsidR="00D93DB3" w:rsidRPr="00BE052D" w:rsidRDefault="00D93DB3" w:rsidP="00DC6EDA">
      <w:pPr>
        <w:spacing w:after="0" w:line="240" w:lineRule="auto"/>
        <w:jc w:val="both"/>
        <w:rPr>
          <w:rFonts w:asciiTheme="majorBidi" w:hAnsiTheme="majorBidi"/>
          <w:color w:val="000000"/>
          <w:sz w:val="24"/>
        </w:rPr>
      </w:pPr>
    </w:p>
    <w:p w14:paraId="1743169D" w14:textId="05E126A4" w:rsidR="00F5690D" w:rsidRPr="008E7169"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As a measure of productivity at the national level, </w:t>
      </w:r>
      <w:r w:rsidR="00BD7A9B">
        <w:rPr>
          <w:rFonts w:asciiTheme="majorBidi" w:hAnsiTheme="majorBidi"/>
          <w:color w:val="000000"/>
          <w:sz w:val="24"/>
        </w:rPr>
        <w:t xml:space="preserve">we used </w:t>
      </w:r>
      <w:r w:rsidRPr="004C731D">
        <w:rPr>
          <w:rFonts w:asciiTheme="majorBidi" w:hAnsiTheme="majorBidi"/>
          <w:color w:val="000000"/>
          <w:sz w:val="24"/>
        </w:rPr>
        <w:t xml:space="preserve">the seasonally adjusted time series of the quarterly real </w:t>
      </w:r>
      <w:r w:rsidR="00BD7A9B" w:rsidRPr="00294B9C">
        <w:rPr>
          <w:rFonts w:asciiTheme="majorBidi" w:hAnsiTheme="majorBidi"/>
          <w:color w:val="000000"/>
          <w:sz w:val="24"/>
        </w:rPr>
        <w:t>gross domestic product</w:t>
      </w:r>
      <w:r w:rsidR="00BD7A9B" w:rsidRPr="00A46182">
        <w:rPr>
          <w:rFonts w:asciiTheme="majorBidi" w:hAnsiTheme="majorBidi"/>
          <w:color w:val="000000"/>
          <w:sz w:val="24"/>
        </w:rPr>
        <w:t xml:space="preserve"> </w:t>
      </w:r>
      <w:r w:rsidR="00B06543" w:rsidRPr="004C731D">
        <w:rPr>
          <w:rFonts w:asciiTheme="majorBidi" w:hAnsiTheme="majorBidi"/>
          <w:color w:val="000000"/>
          <w:sz w:val="24"/>
        </w:rPr>
        <w:t>(</w:t>
      </w:r>
      <w:r w:rsidRPr="004C731D">
        <w:rPr>
          <w:rFonts w:asciiTheme="majorBidi" w:hAnsiTheme="majorBidi"/>
          <w:color w:val="000000"/>
          <w:sz w:val="24"/>
        </w:rPr>
        <w:t>base 2013</w:t>
      </w:r>
      <w:r w:rsidR="00B06543" w:rsidRPr="0016142F">
        <w:rPr>
          <w:rFonts w:asciiTheme="majorBidi" w:hAnsiTheme="majorBidi"/>
          <w:color w:val="000000"/>
          <w:sz w:val="24"/>
        </w:rPr>
        <w:t>=1)</w:t>
      </w:r>
      <w:r w:rsidRPr="008E7169">
        <w:rPr>
          <w:rFonts w:asciiTheme="majorBidi" w:hAnsiTheme="majorBidi"/>
          <w:color w:val="000000"/>
          <w:sz w:val="24"/>
        </w:rPr>
        <w:t xml:space="preserve"> from 1987 to 2019</w:t>
      </w:r>
      <w:r w:rsidRPr="004C731D">
        <w:rPr>
          <w:rFonts w:asciiTheme="majorBidi" w:hAnsiTheme="majorBidi"/>
          <w:color w:val="000000"/>
          <w:sz w:val="24"/>
        </w:rPr>
        <w:t xml:space="preserve">; this series is obtained directly from </w:t>
      </w:r>
      <w:r w:rsidRPr="00F5690D">
        <w:rPr>
          <w:rFonts w:asciiTheme="majorBidi" w:hAnsiTheme="majorBidi" w:cstheme="majorBidi"/>
          <w:color w:val="000000"/>
          <w:sz w:val="24"/>
          <w:szCs w:val="24"/>
        </w:rPr>
        <w:t>INEGI</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w:t>
      </w:r>
      <w:r w:rsidR="006F1C7D" w:rsidRPr="004C731D">
        <w:rPr>
          <w:rFonts w:asciiTheme="majorBidi" w:hAnsiTheme="majorBidi"/>
          <w:color w:val="000000"/>
          <w:sz w:val="24"/>
        </w:rPr>
        <w:t>s</w:t>
      </w:r>
      <w:r w:rsidR="006F1C7D" w:rsidRPr="0016142F">
        <w:rPr>
          <w:rFonts w:asciiTheme="majorBidi" w:hAnsiTheme="majorBidi"/>
          <w:color w:val="000000"/>
          <w:sz w:val="24"/>
        </w:rPr>
        <w:t>tatistical bank data</w:t>
      </w:r>
      <w:r w:rsidRPr="0016142F">
        <w:rPr>
          <w:rFonts w:asciiTheme="majorBidi" w:hAnsiTheme="majorBidi"/>
          <w:color w:val="000000"/>
          <w:sz w:val="24"/>
        </w:rPr>
        <w:t>.</w:t>
      </w:r>
    </w:p>
    <w:p w14:paraId="5DDB5326" w14:textId="77777777" w:rsidR="00D93DB3" w:rsidRPr="00BE052D" w:rsidRDefault="00D93DB3" w:rsidP="00DC6EDA">
      <w:pPr>
        <w:spacing w:after="0" w:line="240" w:lineRule="auto"/>
        <w:jc w:val="both"/>
        <w:rPr>
          <w:rFonts w:asciiTheme="majorBidi" w:hAnsiTheme="majorBidi"/>
          <w:color w:val="000000"/>
          <w:sz w:val="24"/>
        </w:rPr>
      </w:pPr>
    </w:p>
    <w:p w14:paraId="76F39B03" w14:textId="62A2B8B3" w:rsidR="00F5690D" w:rsidRPr="00AA1CA4"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Based on the above, and for this research, the construction of the time series is limited to the</w:t>
      </w:r>
      <w:r w:rsidRPr="00AA1CA4">
        <w:rPr>
          <w:rFonts w:asciiTheme="majorBidi" w:hAnsiTheme="majorBidi"/>
          <w:color w:val="000000"/>
          <w:sz w:val="24"/>
        </w:rPr>
        <w:t xml:space="preserve"> employment growth rates of individuals between the ages of 16 and 65 who are working and receiving a monetary payment greater than zero, thus excluding individuals who work without receiving any payment or remuneration.</w:t>
      </w:r>
    </w:p>
    <w:p w14:paraId="3CEDCAE1" w14:textId="77777777" w:rsidR="00D93DB3" w:rsidRPr="00AA1CA4" w:rsidRDefault="00D93DB3" w:rsidP="00DC6EDA">
      <w:pPr>
        <w:spacing w:after="0" w:line="240" w:lineRule="auto"/>
        <w:jc w:val="both"/>
        <w:rPr>
          <w:rFonts w:asciiTheme="majorBidi" w:hAnsiTheme="majorBidi"/>
          <w:color w:val="000000"/>
          <w:sz w:val="24"/>
        </w:rPr>
      </w:pPr>
    </w:p>
    <w:p w14:paraId="5C76045B" w14:textId="7B4E9D6C" w:rsidR="00F5690D" w:rsidRPr="001D0EB6" w:rsidRDefault="00F5690D" w:rsidP="001D0EB6">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employment series </w:t>
      </w:r>
      <w:r w:rsidR="001D0EB6">
        <w:rPr>
          <w:rFonts w:asciiTheme="majorBidi" w:hAnsiTheme="majorBidi" w:cstheme="majorBidi"/>
          <w:color w:val="000000"/>
          <w:sz w:val="24"/>
          <w:szCs w:val="24"/>
        </w:rPr>
        <w:t>was</w:t>
      </w:r>
      <w:r w:rsidR="00BB0D62" w:rsidRPr="004C731D">
        <w:rPr>
          <w:rFonts w:asciiTheme="majorBidi" w:hAnsiTheme="majorBidi"/>
          <w:color w:val="000000"/>
          <w:sz w:val="24"/>
        </w:rPr>
        <w:t xml:space="preserve"> </w:t>
      </w:r>
      <w:r w:rsidRPr="004C731D">
        <w:rPr>
          <w:rFonts w:asciiTheme="majorBidi" w:hAnsiTheme="majorBidi"/>
          <w:color w:val="000000"/>
          <w:sz w:val="24"/>
        </w:rPr>
        <w:t>divided b</w:t>
      </w:r>
      <w:r w:rsidRPr="0016142F">
        <w:rPr>
          <w:rFonts w:asciiTheme="majorBidi" w:hAnsiTheme="majorBidi"/>
          <w:color w:val="000000"/>
          <w:sz w:val="24"/>
        </w:rPr>
        <w:t xml:space="preserve">y gender and by structure. The employment structure </w:t>
      </w:r>
      <w:r w:rsidR="001D0EB6">
        <w:rPr>
          <w:rFonts w:asciiTheme="majorBidi" w:hAnsiTheme="majorBidi"/>
          <w:color w:val="000000"/>
          <w:sz w:val="24"/>
        </w:rPr>
        <w:t>was</w:t>
      </w:r>
      <w:r w:rsidR="001D0EB6" w:rsidRPr="0016142F">
        <w:rPr>
          <w:rFonts w:asciiTheme="majorBidi" w:hAnsiTheme="majorBidi"/>
          <w:color w:val="000000"/>
          <w:sz w:val="24"/>
        </w:rPr>
        <w:t xml:space="preserve"> </w:t>
      </w:r>
      <w:r w:rsidRPr="0016142F">
        <w:rPr>
          <w:rFonts w:asciiTheme="majorBidi" w:hAnsiTheme="majorBidi"/>
          <w:color w:val="000000"/>
          <w:sz w:val="24"/>
        </w:rPr>
        <w:t xml:space="preserve">divided according to the definition established in </w:t>
      </w:r>
      <w:r w:rsidR="00BB00DC" w:rsidRPr="001D0EB6">
        <w:rPr>
          <w:rFonts w:asciiTheme="majorBidi" w:hAnsiTheme="majorBidi"/>
          <w:color w:val="000000"/>
          <w:sz w:val="24"/>
        </w:rPr>
        <w:t>s</w:t>
      </w:r>
      <w:r w:rsidRPr="001D0EB6">
        <w:rPr>
          <w:rFonts w:asciiTheme="majorBidi" w:hAnsiTheme="majorBidi"/>
          <w:color w:val="000000"/>
          <w:sz w:val="24"/>
        </w:rPr>
        <w:t>ection 2.2.1.</w:t>
      </w:r>
    </w:p>
    <w:p w14:paraId="7FD3A1A6" w14:textId="77777777" w:rsidR="00D93DB3" w:rsidRPr="00BE052D" w:rsidRDefault="00D93DB3" w:rsidP="00DC6EDA">
      <w:pPr>
        <w:spacing w:after="0" w:line="240" w:lineRule="auto"/>
        <w:jc w:val="both"/>
        <w:rPr>
          <w:rFonts w:asciiTheme="majorBidi" w:hAnsiTheme="majorBidi"/>
          <w:color w:val="000000"/>
          <w:sz w:val="24"/>
        </w:rPr>
      </w:pPr>
    </w:p>
    <w:p w14:paraId="4A8BC933" w14:textId="46F8021D" w:rsidR="00F5690D" w:rsidRPr="00AA1CA4"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For the analysis,</w:t>
      </w:r>
      <w:r w:rsidR="00BD7A9B" w:rsidRPr="00BE052D">
        <w:rPr>
          <w:rFonts w:asciiTheme="majorBidi" w:hAnsiTheme="majorBidi"/>
          <w:color w:val="000000"/>
          <w:sz w:val="24"/>
        </w:rPr>
        <w:t xml:space="preserve"> </w:t>
      </w:r>
      <w:r w:rsidR="00BD7A9B">
        <w:rPr>
          <w:rFonts w:asciiTheme="majorBidi" w:hAnsiTheme="majorBidi"/>
          <w:color w:val="000000"/>
          <w:sz w:val="24"/>
        </w:rPr>
        <w:t>we constructed</w:t>
      </w:r>
      <w:r w:rsidRPr="00294B9C">
        <w:rPr>
          <w:rFonts w:asciiTheme="majorBidi" w:hAnsiTheme="majorBidi"/>
          <w:color w:val="000000"/>
          <w:sz w:val="24"/>
        </w:rPr>
        <w:t xml:space="preserve"> </w:t>
      </w:r>
      <w:r w:rsidRPr="004C731D">
        <w:rPr>
          <w:rFonts w:asciiTheme="majorBidi" w:hAnsiTheme="majorBidi"/>
          <w:color w:val="000000"/>
          <w:sz w:val="24"/>
        </w:rPr>
        <w:t>six</w:t>
      </w:r>
      <w:r w:rsidR="00BB0D62">
        <w:rPr>
          <w:rFonts w:asciiTheme="majorBidi" w:hAnsiTheme="majorBidi" w:cstheme="majorBidi"/>
          <w:color w:val="000000"/>
          <w:sz w:val="24"/>
          <w:szCs w:val="24"/>
        </w:rPr>
        <w:t xml:space="preserve"> </w:t>
      </w:r>
      <w:r w:rsidRPr="004C731D">
        <w:rPr>
          <w:rFonts w:asciiTheme="majorBidi" w:hAnsiTheme="majorBidi"/>
          <w:color w:val="000000"/>
          <w:sz w:val="24"/>
        </w:rPr>
        <w:t>time series at the national level: male formal employment growth rate, female for</w:t>
      </w:r>
      <w:r w:rsidRPr="00BE052D">
        <w:rPr>
          <w:rFonts w:asciiTheme="majorBidi" w:hAnsiTheme="majorBidi"/>
          <w:color w:val="000000"/>
          <w:sz w:val="24"/>
        </w:rPr>
        <w:t>mal employment growth rate, male informal employment growth rate, female informal employment growth rate, GDP growth rate</w:t>
      </w:r>
      <w:r w:rsidR="00EA61AA" w:rsidRPr="00BE052D">
        <w:rPr>
          <w:rFonts w:asciiTheme="majorBidi" w:hAnsiTheme="majorBidi"/>
          <w:color w:val="000000"/>
          <w:sz w:val="24"/>
        </w:rPr>
        <w:t>,</w:t>
      </w:r>
      <w:r w:rsidRPr="00BE052D">
        <w:rPr>
          <w:rFonts w:asciiTheme="majorBidi" w:hAnsiTheme="majorBidi"/>
          <w:color w:val="000000"/>
          <w:sz w:val="24"/>
        </w:rPr>
        <w:t xml:space="preserve"> and real hourly wage growth rate.</w:t>
      </w:r>
    </w:p>
    <w:p w14:paraId="5A769A2E" w14:textId="77777777" w:rsidR="00EA61AA" w:rsidRPr="00AA1CA4" w:rsidRDefault="00EA61AA" w:rsidP="00DC6EDA">
      <w:pPr>
        <w:spacing w:after="0" w:line="240" w:lineRule="auto"/>
        <w:jc w:val="both"/>
        <w:rPr>
          <w:rFonts w:asciiTheme="majorBidi" w:hAnsiTheme="majorBidi"/>
          <w:color w:val="000000"/>
          <w:sz w:val="24"/>
        </w:rPr>
      </w:pPr>
    </w:p>
    <w:p w14:paraId="0032566E" w14:textId="4B8FEC5A" w:rsidR="00F5690D" w:rsidRPr="00BE052D" w:rsidRDefault="00F5690D" w:rsidP="006806EB">
      <w:pPr>
        <w:spacing w:after="0" w:line="240" w:lineRule="auto"/>
        <w:jc w:val="both"/>
        <w:rPr>
          <w:rFonts w:asciiTheme="majorBidi" w:hAnsiTheme="majorBidi"/>
          <w:color w:val="000000"/>
          <w:sz w:val="24"/>
        </w:rPr>
      </w:pPr>
      <w:r w:rsidRPr="00AA1CA4">
        <w:rPr>
          <w:rFonts w:asciiTheme="majorBidi" w:hAnsiTheme="majorBidi"/>
          <w:color w:val="000000"/>
          <w:sz w:val="24"/>
        </w:rPr>
        <w:t>Finally,</w:t>
      </w:r>
      <w:r w:rsidR="008A11E6" w:rsidRPr="00AF4A07">
        <w:rPr>
          <w:rFonts w:asciiTheme="majorBidi" w:hAnsiTheme="majorBidi"/>
          <w:color w:val="000000"/>
          <w:sz w:val="24"/>
        </w:rPr>
        <w:t xml:space="preserve"> </w:t>
      </w:r>
      <w:r w:rsidR="008A11E6">
        <w:rPr>
          <w:rFonts w:asciiTheme="majorBidi" w:hAnsiTheme="majorBidi"/>
          <w:color w:val="000000"/>
          <w:sz w:val="24"/>
        </w:rPr>
        <w:t>we excluded</w:t>
      </w:r>
      <w:r w:rsidRPr="00294B9C">
        <w:rPr>
          <w:rFonts w:asciiTheme="majorBidi" w:hAnsiTheme="majorBidi"/>
          <w:color w:val="000000"/>
          <w:sz w:val="24"/>
        </w:rPr>
        <w:t xml:space="preserve"> </w:t>
      </w:r>
      <w:r w:rsidRPr="004C731D">
        <w:rPr>
          <w:rFonts w:asciiTheme="majorBidi" w:hAnsiTheme="majorBidi"/>
          <w:color w:val="000000"/>
          <w:sz w:val="24"/>
        </w:rPr>
        <w:t>all rural areas of the country to homologate both databases since the ENEU only includes</w:t>
      </w:r>
      <w:r w:rsidR="008A11E6" w:rsidRPr="00BE052D">
        <w:rPr>
          <w:rFonts w:asciiTheme="majorBidi" w:hAnsiTheme="majorBidi"/>
          <w:color w:val="000000"/>
          <w:sz w:val="24"/>
        </w:rPr>
        <w:t xml:space="preserve"> </w:t>
      </w:r>
      <w:r w:rsidRPr="00BE052D">
        <w:rPr>
          <w:rFonts w:asciiTheme="majorBidi" w:hAnsiTheme="majorBidi"/>
          <w:color w:val="000000"/>
          <w:sz w:val="24"/>
        </w:rPr>
        <w:t>urban areas of Mexico.</w:t>
      </w:r>
    </w:p>
    <w:p w14:paraId="513D3524" w14:textId="5B41E1B5" w:rsidR="00D93DB3" w:rsidRPr="00AA1CA4" w:rsidRDefault="00D93DB3" w:rsidP="00DC6EDA">
      <w:pPr>
        <w:spacing w:after="0" w:line="240" w:lineRule="auto"/>
        <w:jc w:val="both"/>
        <w:rPr>
          <w:rFonts w:asciiTheme="majorBidi" w:hAnsiTheme="majorBidi"/>
          <w:b/>
          <w:color w:val="000000"/>
          <w:sz w:val="24"/>
        </w:rPr>
      </w:pPr>
    </w:p>
    <w:p w14:paraId="097CD1A5" w14:textId="77777777" w:rsidR="00D93DB3" w:rsidRPr="00AA1CA4" w:rsidRDefault="00D93DB3" w:rsidP="00DC6EDA">
      <w:pPr>
        <w:spacing w:after="0" w:line="240" w:lineRule="auto"/>
        <w:jc w:val="both"/>
        <w:rPr>
          <w:rFonts w:asciiTheme="majorBidi" w:hAnsiTheme="majorBidi"/>
          <w:b/>
          <w:color w:val="000000"/>
          <w:sz w:val="24"/>
        </w:rPr>
      </w:pPr>
    </w:p>
    <w:p w14:paraId="5117C654" w14:textId="037D0412" w:rsidR="00F5690D" w:rsidRPr="00294B9C" w:rsidRDefault="00F5690D" w:rsidP="00DC6EDA">
      <w:pPr>
        <w:spacing w:after="0" w:line="240" w:lineRule="auto"/>
        <w:jc w:val="both"/>
        <w:rPr>
          <w:rFonts w:asciiTheme="majorBidi" w:hAnsiTheme="majorBidi"/>
          <w:b/>
          <w:color w:val="000000"/>
          <w:sz w:val="24"/>
        </w:rPr>
      </w:pPr>
      <w:r w:rsidRPr="00294B9C">
        <w:rPr>
          <w:rFonts w:asciiTheme="majorBidi" w:hAnsiTheme="majorBidi"/>
          <w:b/>
          <w:color w:val="000000"/>
          <w:sz w:val="24"/>
        </w:rPr>
        <w:t xml:space="preserve">3.2 </w:t>
      </w:r>
      <w:r w:rsidR="00BB00DC" w:rsidRPr="00294B9C">
        <w:rPr>
          <w:rFonts w:asciiTheme="majorBidi" w:hAnsiTheme="majorBidi"/>
          <w:b/>
          <w:color w:val="000000"/>
          <w:sz w:val="24"/>
        </w:rPr>
        <w:t xml:space="preserve">Employment and production: a </w:t>
      </w:r>
      <w:r w:rsidRPr="00294B9C">
        <w:rPr>
          <w:rFonts w:asciiTheme="majorBidi" w:hAnsiTheme="majorBidi"/>
          <w:b/>
          <w:color w:val="000000"/>
          <w:sz w:val="24"/>
        </w:rPr>
        <w:t xml:space="preserve">theoretical model with a neoclassical approach </w:t>
      </w:r>
    </w:p>
    <w:p w14:paraId="2DA98436" w14:textId="77777777" w:rsidR="00D93DB3" w:rsidRPr="00294B9C" w:rsidRDefault="00D93DB3" w:rsidP="00DC6EDA">
      <w:pPr>
        <w:spacing w:after="0" w:line="240" w:lineRule="auto"/>
        <w:jc w:val="both"/>
        <w:rPr>
          <w:rFonts w:asciiTheme="majorBidi" w:hAnsiTheme="majorBidi"/>
          <w:color w:val="000000"/>
          <w:sz w:val="24"/>
        </w:rPr>
      </w:pPr>
    </w:p>
    <w:p w14:paraId="0AABD86E" w14:textId="559D0218" w:rsidR="00F5690D" w:rsidRPr="00666047" w:rsidRDefault="00F5690D"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The relationship between productivity and employment has been a relevant topic of study over the years. One of the most studied hypotheses is known as </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Okun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Law</w:t>
      </w:r>
      <w:r w:rsidR="002223ED">
        <w:rPr>
          <w:rFonts w:asciiTheme="majorBidi" w:hAnsiTheme="majorBidi" w:cstheme="majorBidi"/>
          <w:color w:val="000000"/>
          <w:sz w:val="24"/>
          <w:szCs w:val="24"/>
        </w:rPr>
        <w:t>,</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 xml:space="preserve"> </w:t>
      </w:r>
      <w:r w:rsidR="002223ED">
        <w:rPr>
          <w:rFonts w:asciiTheme="majorBidi" w:hAnsiTheme="majorBidi" w:cstheme="majorBidi"/>
          <w:color w:val="000000"/>
          <w:sz w:val="24"/>
          <w:szCs w:val="24"/>
        </w:rPr>
        <w:t>and</w:t>
      </w:r>
      <w:r w:rsidR="002223ED" w:rsidRPr="004C731D">
        <w:rPr>
          <w:rFonts w:asciiTheme="majorBidi" w:hAnsiTheme="majorBidi"/>
          <w:color w:val="000000"/>
          <w:sz w:val="24"/>
        </w:rPr>
        <w:t xml:space="preserve"> </w:t>
      </w:r>
      <w:r w:rsidRPr="004C731D">
        <w:rPr>
          <w:rFonts w:asciiTheme="majorBidi" w:hAnsiTheme="majorBidi"/>
          <w:color w:val="000000"/>
          <w:sz w:val="24"/>
        </w:rPr>
        <w:t xml:space="preserve">this model measures the inverted relationship between unemployment and growth (Okun, 1962). </w:t>
      </w:r>
      <w:r w:rsidR="0019031A" w:rsidRPr="00BE052D">
        <w:rPr>
          <w:rFonts w:asciiTheme="majorBidi" w:hAnsiTheme="majorBidi"/>
          <w:color w:val="000000"/>
          <w:sz w:val="24"/>
        </w:rPr>
        <w:t>Despite</w:t>
      </w:r>
      <w:r w:rsidRPr="00BE052D">
        <w:rPr>
          <w:rFonts w:asciiTheme="majorBidi" w:hAnsiTheme="majorBidi"/>
          <w:color w:val="000000"/>
          <w:sz w:val="24"/>
        </w:rPr>
        <w:t xml:space="preserve"> being a general reference framework, with this model</w:t>
      </w:r>
      <w:r w:rsidR="002223ED">
        <w:rPr>
          <w:rFonts w:asciiTheme="majorBidi" w:hAnsiTheme="majorBidi" w:cstheme="majorBidi"/>
          <w:color w:val="000000"/>
          <w:sz w:val="24"/>
          <w:szCs w:val="24"/>
        </w:rPr>
        <w:t>,</w:t>
      </w:r>
      <w:r w:rsidRPr="004C731D">
        <w:rPr>
          <w:rFonts w:asciiTheme="majorBidi" w:hAnsiTheme="majorBidi"/>
          <w:color w:val="000000"/>
          <w:sz w:val="24"/>
        </w:rPr>
        <w:t xml:space="preserve"> we cannot identify structural changes in supply and demand; therefore, in this study</w:t>
      </w:r>
      <w:r w:rsidR="0019031A" w:rsidRPr="0016142F">
        <w:rPr>
          <w:rFonts w:asciiTheme="majorBidi" w:hAnsiTheme="majorBidi"/>
          <w:color w:val="000000"/>
          <w:sz w:val="24"/>
        </w:rPr>
        <w:t>,</w:t>
      </w:r>
      <w:r w:rsidRPr="0016142F">
        <w:rPr>
          <w:rFonts w:asciiTheme="majorBidi" w:hAnsiTheme="majorBidi"/>
          <w:color w:val="000000"/>
          <w:sz w:val="24"/>
        </w:rPr>
        <w:t xml:space="preserve"> we take as a reference a neoclassical model proposed by Arrow et al. </w:t>
      </w:r>
      <w:r w:rsidRPr="00666047">
        <w:rPr>
          <w:rFonts w:asciiTheme="majorBidi" w:hAnsiTheme="majorBidi"/>
          <w:color w:val="000000"/>
          <w:sz w:val="24"/>
        </w:rPr>
        <w:t>(1961) which studies the relationship between economic productivity and employment.</w:t>
      </w:r>
    </w:p>
    <w:p w14:paraId="104174C0" w14:textId="77777777" w:rsidR="00D93DB3" w:rsidRPr="00BE052D" w:rsidRDefault="00D93DB3" w:rsidP="00DC6EDA">
      <w:pPr>
        <w:spacing w:after="0" w:line="240" w:lineRule="auto"/>
        <w:jc w:val="both"/>
        <w:rPr>
          <w:rFonts w:asciiTheme="majorBidi" w:hAnsiTheme="majorBidi"/>
          <w:color w:val="000000"/>
          <w:sz w:val="24"/>
        </w:rPr>
      </w:pPr>
    </w:p>
    <w:p w14:paraId="2C99FD30" w14:textId="567EF8DD" w:rsidR="00F5690D" w:rsidRPr="00BE052D"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The model is based on the assumption of a perfectly competitive labor market</w:t>
      </w:r>
      <w:r w:rsidRPr="004C731D">
        <w:rPr>
          <w:rFonts w:asciiTheme="majorBidi" w:hAnsiTheme="majorBidi"/>
          <w:color w:val="000000"/>
          <w:sz w:val="24"/>
        </w:rPr>
        <w:t xml:space="preserve"> where production is maximized by equating the technical marginal rate of substitution to real wages. On the other hand, the marginal product of labor can be derived from a CES</w:t>
      </w:r>
      <w:r w:rsidR="0019031A" w:rsidRPr="004C731D">
        <w:rPr>
          <w:rFonts w:asciiTheme="majorBidi" w:hAnsiTheme="majorBidi"/>
          <w:color w:val="000000"/>
          <w:sz w:val="24"/>
        </w:rPr>
        <w:t>-</w:t>
      </w:r>
      <w:r w:rsidRPr="0016142F">
        <w:rPr>
          <w:rFonts w:asciiTheme="majorBidi" w:hAnsiTheme="majorBidi"/>
          <w:color w:val="000000"/>
          <w:sz w:val="24"/>
        </w:rPr>
        <w:t>type production function</w:t>
      </w:r>
      <w:r w:rsidR="00C13C97">
        <w:rPr>
          <w:rFonts w:asciiTheme="majorBidi" w:hAnsiTheme="majorBidi" w:cstheme="majorBidi"/>
          <w:color w:val="000000"/>
          <w:sz w:val="24"/>
          <w:szCs w:val="24"/>
        </w:rPr>
        <w:t xml:space="preserve"> and</w:t>
      </w:r>
      <w:r w:rsidRPr="004C731D">
        <w:rPr>
          <w:rFonts w:asciiTheme="majorBidi" w:hAnsiTheme="majorBidi"/>
          <w:color w:val="000000"/>
          <w:sz w:val="24"/>
        </w:rPr>
        <w:t xml:space="preserve"> constant elasticity of substitution</w:t>
      </w:r>
      <w:r w:rsidRPr="0016142F">
        <w:rPr>
          <w:rFonts w:asciiTheme="majorBidi" w:hAnsiTheme="majorBidi"/>
          <w:color w:val="000000"/>
          <w:sz w:val="24"/>
        </w:rPr>
        <w:t xml:space="preserve"> </w:t>
      </w:r>
      <w:r w:rsidRPr="004C731D">
        <w:rPr>
          <w:rFonts w:asciiTheme="majorBidi" w:hAnsiTheme="majorBidi"/>
          <w:color w:val="000000"/>
          <w:sz w:val="24"/>
        </w:rPr>
        <w:t xml:space="preserve">(Arrow et al., 1961; Akkemik, 2007). </w:t>
      </w:r>
      <w:r w:rsidRPr="0016142F">
        <w:rPr>
          <w:rFonts w:asciiTheme="majorBidi" w:hAnsiTheme="majorBidi"/>
          <w:color w:val="000000"/>
          <w:sz w:val="24"/>
        </w:rPr>
        <w:t>The CES production function is defined as follows:</w:t>
      </w:r>
    </w:p>
    <w:p w14:paraId="446C3D00" w14:textId="523DBB3B" w:rsidR="00D93DB3" w:rsidRPr="00BE052D" w:rsidRDefault="00D93DB3"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3DDB3844" w14:textId="77777777" w:rsidTr="00613E23">
        <w:tc>
          <w:tcPr>
            <w:tcW w:w="7905" w:type="dxa"/>
          </w:tcPr>
          <w:p w14:paraId="205D45E6" w14:textId="77777777" w:rsidR="009C06C0" w:rsidRDefault="009C06C0" w:rsidP="00613E23">
            <w:pPr>
              <w:jc w:val="both"/>
              <w:rPr>
                <w:rFonts w:asciiTheme="majorBidi" w:hAnsiTheme="majorBidi" w:cstheme="majorBidi"/>
                <w:sz w:val="24"/>
                <w:szCs w:val="24"/>
              </w:rPr>
            </w:pPr>
            <m:oMathPara>
              <m:oMath>
                <m:r>
                  <w:rPr>
                    <w:rFonts w:ascii="Cambria Math" w:hAnsi="Cambria Math" w:cstheme="majorBidi"/>
                    <w:sz w:val="24"/>
                    <w:szCs w:val="24"/>
                  </w:rPr>
                  <m:t>Q=f</m:t>
                </m:r>
                <m:d>
                  <m:dPr>
                    <m:ctrlPr>
                      <w:rPr>
                        <w:rFonts w:ascii="Cambria Math" w:hAnsi="Cambria Math" w:cstheme="majorBidi"/>
                        <w:i/>
                        <w:sz w:val="24"/>
                        <w:szCs w:val="24"/>
                      </w:rPr>
                    </m:ctrlPr>
                  </m:dPr>
                  <m:e>
                    <m:r>
                      <w:rPr>
                        <w:rFonts w:ascii="Cambria Math" w:hAnsi="Cambria Math" w:cstheme="majorBidi"/>
                        <w:sz w:val="24"/>
                        <w:szCs w:val="24"/>
                      </w:rPr>
                      <m:t>K,L</m:t>
                    </m:r>
                  </m:e>
                </m:d>
                <m:r>
                  <w:rPr>
                    <w:rFonts w:ascii="Cambria Math" w:hAnsi="Cambria Math" w:cstheme="majorBidi"/>
                    <w:sz w:val="24"/>
                    <w:szCs w:val="24"/>
                  </w:rPr>
                  <m:t>= θ</m:t>
                </m:r>
                <m:sSup>
                  <m:sSupPr>
                    <m:ctrlPr>
                      <w:rPr>
                        <w:rFonts w:ascii="Cambria Math" w:hAnsi="Cambria Math" w:cstheme="majorBidi"/>
                        <w:i/>
                        <w:sz w:val="24"/>
                        <w:szCs w:val="24"/>
                      </w:rPr>
                    </m:ctrlPr>
                  </m:sSupPr>
                  <m:e>
                    <m:d>
                      <m:dPr>
                        <m:begChr m:val="["/>
                        <m:endChr m:val="]"/>
                        <m:ctrlPr>
                          <w:rPr>
                            <w:rFonts w:ascii="Cambria Math" w:hAnsi="Cambria Math" w:cstheme="majorBidi"/>
                            <w:i/>
                            <w:sz w:val="24"/>
                            <w:szCs w:val="24"/>
                          </w:rPr>
                        </m:ctrlPr>
                      </m:dPr>
                      <m:e>
                        <m:r>
                          <w:rPr>
                            <w:rFonts w:ascii="Cambria Math" w:hAnsi="Cambria Math" w:cstheme="majorBidi"/>
                            <w:sz w:val="24"/>
                            <w:szCs w:val="24"/>
                          </w:rPr>
                          <m:t>β</m:t>
                        </m:r>
                        <m:sSup>
                          <m:sSupPr>
                            <m:ctrlPr>
                              <w:rPr>
                                <w:rFonts w:ascii="Cambria Math" w:hAnsi="Cambria Math" w:cstheme="majorBidi"/>
                                <w:i/>
                                <w:sz w:val="24"/>
                                <w:szCs w:val="24"/>
                              </w:rPr>
                            </m:ctrlPr>
                          </m:sSupPr>
                          <m:e>
                            <m:r>
                              <w:rPr>
                                <w:rFonts w:ascii="Cambria Math" w:hAnsi="Cambria Math" w:cstheme="majorBidi"/>
                                <w:sz w:val="24"/>
                                <w:szCs w:val="24"/>
                              </w:rPr>
                              <m:t>L</m:t>
                            </m:r>
                          </m:e>
                          <m:sup>
                            <m:r>
                              <w:rPr>
                                <w:rFonts w:ascii="Cambria Math" w:hAnsi="Cambria Math" w:cstheme="majorBidi"/>
                                <w:sz w:val="24"/>
                                <w:szCs w:val="24"/>
                              </w:rPr>
                              <m:t>-ρ</m:t>
                            </m:r>
                          </m:sup>
                        </m:sSup>
                        <m:r>
                          <w:rPr>
                            <w:rFonts w:ascii="Cambria Math" w:hAnsi="Cambria Math" w:cstheme="majorBidi"/>
                            <w:sz w:val="24"/>
                            <w:szCs w:val="24"/>
                          </w:rPr>
                          <m:t>+(1-β)</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-ρ</m:t>
                            </m:r>
                          </m:sup>
                        </m:sSup>
                      </m:e>
                    </m:d>
                  </m:e>
                  <m:sup>
                    <m:f>
                      <m:fPr>
                        <m:ctrlPr>
                          <w:rPr>
                            <w:rFonts w:ascii="Cambria Math" w:hAnsi="Cambria Math"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ρ</m:t>
                        </m:r>
                      </m:den>
                    </m:f>
                  </m:sup>
                </m:sSup>
              </m:oMath>
            </m:oMathPara>
          </w:p>
        </w:tc>
        <w:tc>
          <w:tcPr>
            <w:tcW w:w="1073" w:type="dxa"/>
            <w:vAlign w:val="bottom"/>
          </w:tcPr>
          <w:p w14:paraId="354F4A1E" w14:textId="77777777" w:rsidR="009C06C0" w:rsidRPr="00C378FF" w:rsidRDefault="009C06C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(1)</w:t>
            </w:r>
          </w:p>
        </w:tc>
      </w:tr>
    </w:tbl>
    <w:p w14:paraId="7A9754D8" w14:textId="77777777" w:rsidR="00D93DB3" w:rsidRPr="00BE052D" w:rsidRDefault="00D93DB3" w:rsidP="00DC6EDA">
      <w:pPr>
        <w:spacing w:after="0" w:line="240" w:lineRule="auto"/>
        <w:jc w:val="both"/>
        <w:rPr>
          <w:rFonts w:asciiTheme="majorBidi" w:hAnsiTheme="majorBidi"/>
          <w:color w:val="000000"/>
          <w:sz w:val="24"/>
        </w:rPr>
      </w:pPr>
    </w:p>
    <w:p w14:paraId="25B2D1C2" w14:textId="01440193" w:rsidR="00F5690D" w:rsidRPr="00BE052D" w:rsidRDefault="00317BF0" w:rsidP="00DC6EDA">
      <w:pPr>
        <w:spacing w:after="0" w:line="240" w:lineRule="auto"/>
        <w:jc w:val="both"/>
        <w:rPr>
          <w:rFonts w:asciiTheme="majorBidi" w:hAnsiTheme="majorBidi"/>
          <w:color w:val="000000"/>
          <w:sz w:val="24"/>
        </w:rPr>
      </w:pPr>
      <w:r>
        <w:rPr>
          <w:rFonts w:asciiTheme="majorBidi" w:hAnsiTheme="majorBidi" w:cstheme="majorBidi"/>
          <w:color w:val="000000"/>
          <w:sz w:val="24"/>
          <w:szCs w:val="24"/>
        </w:rPr>
        <w:lastRenderedPageBreak/>
        <w:t>W</w:t>
      </w:r>
      <w:r w:rsidR="00C13C97" w:rsidRPr="00F5690D">
        <w:rPr>
          <w:rFonts w:asciiTheme="majorBidi" w:hAnsiTheme="majorBidi" w:cstheme="majorBidi"/>
          <w:color w:val="000000"/>
          <w:sz w:val="24"/>
          <w:szCs w:val="24"/>
        </w:rPr>
        <w:t>here</w:t>
      </w:r>
      <w:r w:rsidR="00C13C97" w:rsidRPr="004C731D">
        <w:rPr>
          <w:rFonts w:asciiTheme="majorBidi" w:hAnsiTheme="majorBidi"/>
          <w:color w:val="000000"/>
          <w:sz w:val="24"/>
        </w:rPr>
        <w:t xml:space="preserve"> </w:t>
      </w:r>
      <w:r w:rsidR="00F5690D" w:rsidRPr="00F5690D">
        <w:rPr>
          <w:rFonts w:ascii="Cambria Math" w:hAnsi="Cambria Math" w:cs="Cambria Math"/>
          <w:color w:val="000000"/>
          <w:sz w:val="24"/>
          <w:szCs w:val="24"/>
        </w:rPr>
        <w:t>𝑄</w:t>
      </w:r>
      <w:r w:rsidR="00F5690D" w:rsidRPr="004C731D">
        <w:rPr>
          <w:rFonts w:asciiTheme="majorBidi" w:hAnsiTheme="majorBidi"/>
          <w:color w:val="000000"/>
          <w:sz w:val="24"/>
        </w:rPr>
        <w:t xml:space="preserve"> is the production, </w:t>
      </w:r>
      <w:r w:rsidR="00F5690D" w:rsidRPr="00F5690D">
        <w:rPr>
          <w:rFonts w:ascii="Cambria Math" w:hAnsi="Cambria Math" w:cs="Cambria Math"/>
          <w:color w:val="000000"/>
          <w:sz w:val="24"/>
          <w:szCs w:val="24"/>
        </w:rPr>
        <w:t>𝐾</w:t>
      </w:r>
      <w:r w:rsidR="006806EB" w:rsidRPr="002132E6">
        <w:rPr>
          <w:rFonts w:ascii="Cambria Math" w:hAnsi="Cambria Math"/>
          <w:color w:val="000000"/>
          <w:sz w:val="24"/>
        </w:rPr>
        <w:t xml:space="preserve"> </w:t>
      </w:r>
      <w:r w:rsidR="006806EB">
        <w:rPr>
          <w:rFonts w:ascii="Cambria Math" w:hAnsi="Cambria Math" w:cs="Cambria Math"/>
          <w:color w:val="000000"/>
          <w:sz w:val="24"/>
          <w:szCs w:val="24"/>
        </w:rPr>
        <w:t>is</w:t>
      </w:r>
      <w:r w:rsidR="00F5690D" w:rsidRPr="00A46182">
        <w:rPr>
          <w:rFonts w:asciiTheme="majorBidi" w:hAnsiTheme="majorBidi"/>
          <w:color w:val="000000"/>
          <w:sz w:val="24"/>
        </w:rPr>
        <w:t xml:space="preserve"> </w:t>
      </w:r>
      <w:r w:rsidR="00F5690D" w:rsidRPr="004C731D">
        <w:rPr>
          <w:rFonts w:asciiTheme="majorBidi" w:hAnsiTheme="majorBidi"/>
          <w:color w:val="000000"/>
          <w:sz w:val="24"/>
        </w:rPr>
        <w:t>the capital factor</w:t>
      </w:r>
      <w:r w:rsidR="0019031A" w:rsidRPr="004C731D">
        <w:rPr>
          <w:rFonts w:asciiTheme="majorBidi" w:hAnsiTheme="majorBidi"/>
          <w:color w:val="000000"/>
          <w:sz w:val="24"/>
        </w:rPr>
        <w:t>,</w:t>
      </w:r>
      <w:r w:rsidR="00F5690D" w:rsidRPr="0016142F">
        <w:rPr>
          <w:rFonts w:asciiTheme="majorBidi" w:hAnsiTheme="majorBidi"/>
          <w:color w:val="000000"/>
          <w:sz w:val="24"/>
        </w:rPr>
        <w:t xml:space="preserve"> and </w:t>
      </w:r>
      <w:r w:rsidR="00F5690D" w:rsidRPr="00F5690D">
        <w:rPr>
          <w:rFonts w:ascii="Cambria Math" w:hAnsi="Cambria Math" w:cs="Cambria Math"/>
          <w:color w:val="000000"/>
          <w:sz w:val="24"/>
          <w:szCs w:val="24"/>
        </w:rPr>
        <w:t>𝐿</w:t>
      </w:r>
      <w:r w:rsidR="00F5690D" w:rsidRPr="004C731D">
        <w:rPr>
          <w:rFonts w:asciiTheme="majorBidi" w:hAnsiTheme="majorBidi"/>
          <w:color w:val="000000"/>
          <w:sz w:val="24"/>
        </w:rPr>
        <w:t xml:space="preserve"> </w:t>
      </w:r>
      <w:r w:rsidR="006806EB">
        <w:rPr>
          <w:rFonts w:asciiTheme="majorBidi" w:hAnsiTheme="majorBidi"/>
          <w:color w:val="000000"/>
          <w:sz w:val="24"/>
        </w:rPr>
        <w:t xml:space="preserve">is </w:t>
      </w:r>
      <w:r w:rsidR="00F5690D" w:rsidRPr="004C731D">
        <w:rPr>
          <w:rFonts w:asciiTheme="majorBidi" w:hAnsiTheme="majorBidi"/>
          <w:color w:val="000000"/>
          <w:sz w:val="24"/>
        </w:rPr>
        <w:t xml:space="preserve">the labor factor. </w:t>
      </w:r>
      <w:r w:rsidR="00F5690D" w:rsidRPr="00F5690D">
        <w:rPr>
          <w:rFonts w:ascii="Cambria Math" w:hAnsi="Cambria Math" w:cs="Cambria Math"/>
          <w:color w:val="000000"/>
          <w:sz w:val="24"/>
          <w:szCs w:val="24"/>
        </w:rPr>
        <w:t>𝛽</w:t>
      </w:r>
      <w:r w:rsidR="00F5690D" w:rsidRPr="004C731D">
        <w:rPr>
          <w:rFonts w:asciiTheme="majorBidi" w:hAnsiTheme="majorBidi"/>
          <w:color w:val="000000"/>
          <w:sz w:val="24"/>
        </w:rPr>
        <w:t xml:space="preserve"> is a parameter that lies between zero and one, and it determines the distribution of income among the factors of production; </w:t>
      </w:r>
      <w:r w:rsidR="00F5690D" w:rsidRPr="00F5690D">
        <w:rPr>
          <w:rFonts w:ascii="Cambria Math" w:hAnsi="Cambria Math" w:cs="Cambria Math"/>
          <w:color w:val="000000"/>
          <w:sz w:val="24"/>
          <w:szCs w:val="24"/>
        </w:rPr>
        <w:t>𝜃</w:t>
      </w:r>
      <w:r w:rsidR="00F5690D" w:rsidRPr="004C731D">
        <w:rPr>
          <w:rFonts w:asciiTheme="majorBidi" w:hAnsiTheme="majorBidi"/>
          <w:color w:val="000000"/>
          <w:sz w:val="24"/>
        </w:rPr>
        <w:t xml:space="preserve"> measures technological progress, s measures the returns to scale</w:t>
      </w:r>
      <w:r w:rsidR="0019031A" w:rsidRPr="004C731D">
        <w:rPr>
          <w:rFonts w:asciiTheme="majorBidi" w:hAnsiTheme="majorBidi"/>
          <w:color w:val="000000"/>
          <w:sz w:val="24"/>
        </w:rPr>
        <w:t>,</w:t>
      </w:r>
      <w:r w:rsidR="00F5690D" w:rsidRPr="0016142F">
        <w:rPr>
          <w:rFonts w:asciiTheme="majorBidi" w:hAnsiTheme="majorBidi"/>
          <w:color w:val="000000"/>
          <w:sz w:val="24"/>
        </w:rPr>
        <w:t xml:space="preserve"> and </w:t>
      </w:r>
      <w:r w:rsidR="00F5690D" w:rsidRPr="00F5690D">
        <w:rPr>
          <w:rFonts w:ascii="Cambria Math" w:hAnsi="Cambria Math" w:cs="Cambria Math"/>
          <w:color w:val="000000"/>
          <w:sz w:val="24"/>
          <w:szCs w:val="24"/>
        </w:rPr>
        <w:t>𝜌</w:t>
      </w:r>
      <w:r w:rsidR="00F5690D" w:rsidRPr="004C731D">
        <w:rPr>
          <w:rFonts w:asciiTheme="majorBidi" w:hAnsiTheme="majorBidi"/>
          <w:color w:val="000000"/>
          <w:sz w:val="24"/>
        </w:rPr>
        <w:t xml:space="preserve"> is the parameter that measures the elasticity of substitution between the factors of production (</w:t>
      </w:r>
      <w:r w:rsidR="00F5690D" w:rsidRPr="00F5690D">
        <w:rPr>
          <w:rFonts w:ascii="Cambria Math" w:hAnsi="Cambria Math" w:cs="Cambria Math"/>
          <w:color w:val="000000"/>
          <w:sz w:val="24"/>
          <w:szCs w:val="24"/>
        </w:rPr>
        <w:t>𝜌</w:t>
      </w:r>
      <w:r w:rsidR="00F5690D" w:rsidRPr="004C731D">
        <w:rPr>
          <w:rFonts w:asciiTheme="majorBidi" w:hAnsiTheme="majorBidi"/>
          <w:color w:val="000000"/>
          <w:sz w:val="24"/>
        </w:rPr>
        <w:t xml:space="preserve">&gt;0). As mentioned above, optimality is reached when the marginal product of capital and labor </w:t>
      </w:r>
      <w:r w:rsidR="00F5690D" w:rsidRPr="00F5690D">
        <w:rPr>
          <w:rFonts w:asciiTheme="majorBidi" w:hAnsiTheme="majorBidi" w:cstheme="majorBidi"/>
          <w:color w:val="000000"/>
          <w:sz w:val="24"/>
          <w:szCs w:val="24"/>
        </w:rPr>
        <w:t>equal</w:t>
      </w:r>
      <w:r w:rsidR="00D23BA2">
        <w:rPr>
          <w:rFonts w:asciiTheme="majorBidi" w:hAnsiTheme="majorBidi" w:cstheme="majorBidi"/>
          <w:color w:val="000000"/>
          <w:sz w:val="24"/>
          <w:szCs w:val="24"/>
        </w:rPr>
        <w:t>s</w:t>
      </w:r>
      <w:r w:rsidR="00F5690D" w:rsidRPr="004C731D">
        <w:rPr>
          <w:rFonts w:asciiTheme="majorBidi" w:hAnsiTheme="majorBidi"/>
          <w:color w:val="000000"/>
          <w:sz w:val="24"/>
        </w:rPr>
        <w:t xml:space="preserve"> </w:t>
      </w:r>
      <w:r w:rsidR="00F5690D" w:rsidRPr="00BE052D">
        <w:rPr>
          <w:rFonts w:asciiTheme="majorBidi" w:hAnsiTheme="majorBidi"/>
          <w:color w:val="000000"/>
          <w:sz w:val="24"/>
        </w:rPr>
        <w:t>their respective payments (the return to capital and the wage):</w:t>
      </w:r>
    </w:p>
    <w:p w14:paraId="3CAADFCE"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579B0594" w14:textId="77777777" w:rsidTr="00613E23">
        <w:trPr>
          <w:trHeight w:val="636"/>
        </w:trPr>
        <w:tc>
          <w:tcPr>
            <w:tcW w:w="7905" w:type="dxa"/>
          </w:tcPr>
          <w:p w14:paraId="22DC4450" w14:textId="77777777" w:rsidR="009C06C0" w:rsidRPr="00C378FF" w:rsidRDefault="00072B7C" w:rsidP="00613E23">
            <w:pPr>
              <w:jc w:val="both"/>
              <w:rPr>
                <w:rFonts w:asciiTheme="majorBidi" w:eastAsiaTheme="minorEastAsia" w:hAnsiTheme="majorBidi" w:cstheme="majorBidi"/>
                <w:sz w:val="24"/>
                <w:szCs w:val="24"/>
              </w:rPr>
            </w:pPr>
            <m:oMathPara>
              <m:oMathParaPr>
                <m:jc m:val="center"/>
              </m:oMathPara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∂K</m:t>
                    </m:r>
                  </m:den>
                </m:f>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k</m:t>
                    </m:r>
                  </m:sub>
                </m:sSub>
                <m:r>
                  <w:rPr>
                    <w:rFonts w:ascii="Cambria Math" w:eastAsiaTheme="minorEastAsia" w:hAnsi="Cambria Math" w:cstheme="majorBidi"/>
                    <w:sz w:val="24"/>
                    <w:szCs w:val="24"/>
                  </w:rPr>
                  <m:t xml:space="preserve">=r  ,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Cambria Math" w:cstheme="majorBidi"/>
                        <w:sz w:val="24"/>
                        <w:szCs w:val="24"/>
                      </w:rPr>
                      <m:t>L</m:t>
                    </m:r>
                  </m:sub>
                </m:sSub>
                <m:r>
                  <w:rPr>
                    <w:rFonts w:ascii="Cambria Math" w:eastAsiaTheme="minorEastAsia" w:hAnsi="Cambria Math" w:cstheme="majorBidi"/>
                    <w:sz w:val="24"/>
                    <w:szCs w:val="24"/>
                  </w:rPr>
                  <m:t>=w</m:t>
                </m:r>
              </m:oMath>
            </m:oMathPara>
          </w:p>
        </w:tc>
        <w:tc>
          <w:tcPr>
            <w:tcW w:w="1073" w:type="dxa"/>
            <w:vAlign w:val="center"/>
          </w:tcPr>
          <w:p w14:paraId="77356CC7" w14:textId="77777777" w:rsidR="009C06C0" w:rsidRDefault="009C06C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(2)</w:t>
            </w:r>
          </w:p>
        </w:tc>
      </w:tr>
    </w:tbl>
    <w:p w14:paraId="50DDB46B" w14:textId="77777777" w:rsidR="00A8001F" w:rsidRPr="00BE052D" w:rsidRDefault="00A8001F" w:rsidP="00DC6EDA">
      <w:pPr>
        <w:spacing w:after="0" w:line="240" w:lineRule="auto"/>
        <w:jc w:val="both"/>
        <w:rPr>
          <w:rFonts w:asciiTheme="majorBidi" w:hAnsiTheme="majorBidi"/>
          <w:color w:val="000000"/>
          <w:sz w:val="24"/>
        </w:rPr>
      </w:pPr>
    </w:p>
    <w:p w14:paraId="0DFE6F8C" w14:textId="124DE1D7" w:rsidR="00F5690D" w:rsidRPr="00AA1CA4"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From equation (3) and taking (1) as a base, we obtain the following:</w:t>
      </w:r>
    </w:p>
    <w:p w14:paraId="38F44596" w14:textId="77777777" w:rsidR="00A8001F" w:rsidRPr="00AA1CA4"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9C06C0" w14:paraId="41D5DD7C" w14:textId="77777777" w:rsidTr="00613E23">
        <w:trPr>
          <w:trHeight w:val="642"/>
        </w:trPr>
        <w:tc>
          <w:tcPr>
            <w:tcW w:w="7905" w:type="dxa"/>
          </w:tcPr>
          <w:p w14:paraId="5CF0FB91" w14:textId="77777777" w:rsidR="009C06C0" w:rsidRDefault="00072B7C" w:rsidP="00613E23">
            <w:pPr>
              <w:jc w:val="both"/>
              <w:rPr>
                <w:rFonts w:asciiTheme="majorBidi" w:eastAsiaTheme="minorEastAsia" w:hAnsiTheme="majorBidi" w:cstheme="majorBidi"/>
                <w:sz w:val="24"/>
                <w:szCs w:val="24"/>
              </w:rPr>
            </w:pPr>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∂L</m:t>
                    </m:r>
                  </m:den>
                </m:f>
                <m:r>
                  <w:rPr>
                    <w:rFonts w:ascii="Cambria Math" w:eastAsiaTheme="minorEastAsia" w:hAnsi="Cambria Math" w:cstheme="majorBidi"/>
                    <w:sz w:val="24"/>
                    <w:szCs w:val="24"/>
                  </w:rPr>
                  <m:t>=s</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θ</m:t>
                    </m:r>
                  </m:e>
                  <m:sup>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-ρ</m:t>
                        </m:r>
                      </m:num>
                      <m:den>
                        <m:r>
                          <w:rPr>
                            <w:rFonts w:ascii="Cambria Math" w:eastAsiaTheme="minorEastAsia" w:hAnsi="Cambria Math" w:cstheme="majorBidi"/>
                            <w:sz w:val="24"/>
                            <w:szCs w:val="24"/>
                          </w:rPr>
                          <m:t>s</m:t>
                        </m:r>
                      </m:den>
                    </m:f>
                  </m:sup>
                </m:sSup>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1-β</m:t>
                    </m:r>
                  </m:e>
                </m:d>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Q</m:t>
                    </m:r>
                  </m:e>
                  <m:sup>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1+ρ</m:t>
                        </m:r>
                      </m:num>
                      <m:den>
                        <m:r>
                          <w:rPr>
                            <w:rFonts w:ascii="Cambria Math" w:eastAsiaTheme="minorEastAsia" w:hAnsi="Cambria Math" w:cstheme="majorBidi"/>
                            <w:sz w:val="24"/>
                            <w:szCs w:val="24"/>
                          </w:rPr>
                          <m:t>s</m:t>
                        </m:r>
                      </m:den>
                    </m:f>
                  </m:sup>
                </m:s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L</m:t>
                    </m:r>
                  </m:e>
                  <m:sup>
                    <m:r>
                      <w:rPr>
                        <w:rFonts w:ascii="Cambria Math" w:eastAsiaTheme="minorEastAsia" w:hAnsi="Cambria Math" w:cstheme="majorBidi"/>
                        <w:sz w:val="24"/>
                        <w:szCs w:val="24"/>
                      </w:rPr>
                      <m:t>-1-ρ</m:t>
                    </m:r>
                  </m:sup>
                </m:sSup>
                <m:r>
                  <w:rPr>
                    <w:rFonts w:ascii="Cambria Math" w:eastAsiaTheme="minorEastAsia" w:hAnsi="Cambria Math" w:cstheme="majorBidi"/>
                    <w:sz w:val="24"/>
                    <w:szCs w:val="24"/>
                  </w:rPr>
                  <m:t>=w</m:t>
                </m:r>
              </m:oMath>
            </m:oMathPara>
          </w:p>
        </w:tc>
        <w:tc>
          <w:tcPr>
            <w:tcW w:w="1073" w:type="dxa"/>
            <w:vAlign w:val="center"/>
          </w:tcPr>
          <w:p w14:paraId="23EFCE9B" w14:textId="77777777" w:rsidR="009C06C0" w:rsidRDefault="009C06C0" w:rsidP="00613E23">
            <w:pPr>
              <w:jc w:val="right"/>
              <w:rPr>
                <w:rFonts w:asciiTheme="majorBidi" w:eastAsiaTheme="minorEastAsia" w:hAnsiTheme="majorBidi" w:cstheme="majorBidi"/>
                <w:sz w:val="24"/>
                <w:szCs w:val="24"/>
              </w:rPr>
            </w:pPr>
            <w:r w:rsidRPr="00174733">
              <w:rPr>
                <w:rFonts w:asciiTheme="majorBidi" w:eastAsiaTheme="minorEastAsia" w:hAnsiTheme="majorBidi" w:cstheme="majorBidi"/>
                <w:sz w:val="24"/>
                <w:szCs w:val="24"/>
              </w:rPr>
              <w:t>(</w:t>
            </w:r>
            <w:r>
              <w:rPr>
                <w:rFonts w:asciiTheme="majorBidi" w:eastAsiaTheme="minorEastAsia" w:hAnsiTheme="majorBidi" w:cstheme="majorBidi"/>
                <w:sz w:val="24"/>
                <w:szCs w:val="24"/>
              </w:rPr>
              <w:t>3</w:t>
            </w:r>
            <w:r w:rsidRPr="00174733">
              <w:rPr>
                <w:rFonts w:asciiTheme="majorBidi" w:eastAsiaTheme="minorEastAsia" w:hAnsiTheme="majorBidi" w:cstheme="majorBidi"/>
                <w:sz w:val="24"/>
                <w:szCs w:val="24"/>
              </w:rPr>
              <w:t>)</w:t>
            </w:r>
          </w:p>
        </w:tc>
      </w:tr>
    </w:tbl>
    <w:p w14:paraId="4083CFA5" w14:textId="77777777" w:rsidR="00A8001F" w:rsidRPr="00BE052D" w:rsidRDefault="00A8001F" w:rsidP="00DC6EDA">
      <w:pPr>
        <w:spacing w:after="0" w:line="240" w:lineRule="auto"/>
        <w:jc w:val="both"/>
        <w:rPr>
          <w:rFonts w:asciiTheme="majorBidi" w:hAnsiTheme="majorBidi"/>
          <w:color w:val="000000"/>
          <w:sz w:val="24"/>
        </w:rPr>
      </w:pPr>
    </w:p>
    <w:p w14:paraId="4D3BE830" w14:textId="10371B73" w:rsidR="00F5690D" w:rsidRPr="004C731D"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Once equation (4) is found</w:t>
      </w:r>
      <w:r w:rsidR="00D23BA2">
        <w:rPr>
          <w:rFonts w:asciiTheme="majorBidi" w:hAnsiTheme="majorBidi" w:cstheme="majorBidi"/>
          <w:color w:val="000000"/>
          <w:sz w:val="24"/>
          <w:szCs w:val="24"/>
        </w:rPr>
        <w:t>,</w:t>
      </w:r>
      <w:r w:rsidRPr="004C731D">
        <w:rPr>
          <w:rFonts w:asciiTheme="majorBidi" w:hAnsiTheme="majorBidi"/>
          <w:color w:val="000000"/>
          <w:sz w:val="24"/>
        </w:rPr>
        <w:t xml:space="preserve"> we take logarithms and rewrite the equation used for estimations:</w:t>
      </w:r>
    </w:p>
    <w:p w14:paraId="72A92733"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062"/>
      </w:tblGrid>
      <w:tr w:rsidR="009C06C0" w14:paraId="4DAF05D0" w14:textId="77777777" w:rsidTr="00613E23">
        <w:tc>
          <w:tcPr>
            <w:tcW w:w="7905" w:type="dxa"/>
          </w:tcPr>
          <w:p w14:paraId="0CF4E612" w14:textId="77777777" w:rsidR="009C06C0" w:rsidRDefault="00072B7C" w:rsidP="00613E23">
            <w:pPr>
              <w:jc w:val="both"/>
              <w:rPr>
                <w:rFonts w:asciiTheme="majorBidi" w:eastAsiaTheme="minorEastAsia" w:hAnsiTheme="majorBidi" w:cstheme="majorBidi"/>
                <w:sz w:val="24"/>
                <w:szCs w:val="24"/>
              </w:rPr>
            </w:pPr>
            <m:oMathPara>
              <m:oMath>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L</m:t>
                    </m:r>
                  </m:e>
                </m:func>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1</m:t>
                    </m:r>
                  </m:sub>
                </m:sSub>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Q</m:t>
                    </m:r>
                  </m:e>
                </m:func>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2</m:t>
                    </m:r>
                  </m:sub>
                </m:sSub>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w</m:t>
                    </m:r>
                  </m:e>
                </m:func>
              </m:oMath>
            </m:oMathPara>
          </w:p>
        </w:tc>
        <w:tc>
          <w:tcPr>
            <w:tcW w:w="1073" w:type="dxa"/>
          </w:tcPr>
          <w:p w14:paraId="2A2AF969" w14:textId="77777777" w:rsidR="009C06C0" w:rsidRDefault="009C06C0" w:rsidP="00613E23">
            <w:pPr>
              <w:jc w:val="right"/>
              <w:rPr>
                <w:rFonts w:asciiTheme="majorBidi" w:eastAsiaTheme="minorEastAsia" w:hAnsiTheme="majorBidi" w:cstheme="majorBidi"/>
                <w:sz w:val="24"/>
                <w:szCs w:val="24"/>
              </w:rPr>
            </w:pPr>
            <w:r w:rsidRPr="00174733">
              <w:rPr>
                <w:rFonts w:asciiTheme="majorBidi" w:eastAsiaTheme="minorEastAsia" w:hAnsiTheme="majorBidi" w:cstheme="majorBidi"/>
                <w:sz w:val="24"/>
                <w:szCs w:val="24"/>
              </w:rPr>
              <w:t>(</w:t>
            </w:r>
            <w:r>
              <w:rPr>
                <w:rFonts w:asciiTheme="majorBidi" w:eastAsiaTheme="minorEastAsia" w:hAnsiTheme="majorBidi" w:cstheme="majorBidi"/>
                <w:sz w:val="24"/>
                <w:szCs w:val="24"/>
              </w:rPr>
              <w:t>4</w:t>
            </w:r>
            <w:r w:rsidRPr="00174733">
              <w:rPr>
                <w:rFonts w:asciiTheme="majorBidi" w:eastAsiaTheme="minorEastAsia" w:hAnsiTheme="majorBidi" w:cstheme="majorBidi"/>
                <w:sz w:val="24"/>
                <w:szCs w:val="24"/>
              </w:rPr>
              <w:t>)</w:t>
            </w:r>
          </w:p>
        </w:tc>
      </w:tr>
    </w:tbl>
    <w:p w14:paraId="7FD25656" w14:textId="77777777" w:rsidR="00A8001F" w:rsidRPr="00BE052D" w:rsidRDefault="00A8001F" w:rsidP="00DC6EDA">
      <w:pPr>
        <w:spacing w:after="0" w:line="240" w:lineRule="auto"/>
        <w:jc w:val="both"/>
        <w:rPr>
          <w:rFonts w:asciiTheme="majorBidi" w:hAnsiTheme="majorBidi"/>
          <w:color w:val="000000"/>
          <w:sz w:val="24"/>
        </w:rPr>
      </w:pPr>
    </w:p>
    <w:p w14:paraId="5F099CF7" w14:textId="5E51B67A" w:rsidR="00F5690D" w:rsidRPr="0016142F"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The terms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0</w:t>
      </w:r>
      <w:r w:rsidRPr="004C731D">
        <w:rPr>
          <w:rFonts w:asciiTheme="majorBidi" w:hAnsiTheme="majorBidi"/>
          <w:color w:val="000000"/>
          <w:sz w:val="24"/>
        </w:rPr>
        <w:t xml:space="preserve">,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1</w:t>
      </w:r>
      <w:r w:rsidRPr="004C731D">
        <w:rPr>
          <w:rFonts w:asciiTheme="majorBidi" w:hAnsiTheme="majorBidi"/>
          <w:color w:val="000000"/>
          <w:sz w:val="24"/>
        </w:rPr>
        <w:t xml:space="preserve"> y </w:t>
      </w:r>
      <w:r w:rsidRPr="00F5690D">
        <w:rPr>
          <w:rFonts w:ascii="Cambria Math" w:hAnsi="Cambria Math" w:cs="Cambria Math"/>
          <w:color w:val="000000"/>
          <w:sz w:val="24"/>
          <w:szCs w:val="24"/>
        </w:rPr>
        <w:t>𝛼</w:t>
      </w:r>
      <w:r w:rsidRPr="004C731D">
        <w:rPr>
          <w:rFonts w:asciiTheme="majorBidi" w:hAnsiTheme="majorBidi"/>
          <w:color w:val="000000"/>
          <w:sz w:val="24"/>
          <w:vertAlign w:val="subscript"/>
        </w:rPr>
        <w:t>2</w:t>
      </w:r>
      <w:r w:rsidRPr="004C731D">
        <w:rPr>
          <w:rFonts w:asciiTheme="majorBidi" w:hAnsiTheme="majorBidi"/>
          <w:color w:val="000000"/>
          <w:sz w:val="24"/>
        </w:rPr>
        <w:t xml:space="preserve"> represent the following:</w:t>
      </w:r>
    </w:p>
    <w:p w14:paraId="1848A1DB"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9C06C0" w14:paraId="46ECA0B9" w14:textId="77777777" w:rsidTr="00613E23">
        <w:tc>
          <w:tcPr>
            <w:tcW w:w="7905" w:type="dxa"/>
          </w:tcPr>
          <w:p w14:paraId="55533BDD" w14:textId="77777777" w:rsidR="009C06C0" w:rsidRPr="00316960" w:rsidRDefault="00072B7C" w:rsidP="00613E23">
            <w:pPr>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α</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1+ρ</m:t>
                    </m:r>
                  </m:den>
                </m:f>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(s</m:t>
                    </m:r>
                  </m:e>
                </m:func>
                <m:r>
                  <w:rPr>
                    <w:rFonts w:ascii="Cambria Math" w:eastAsiaTheme="minorEastAsia" w:hAnsi="Cambria Math" w:cstheme="majorBidi"/>
                    <w:sz w:val="24"/>
                    <w:szCs w:val="24"/>
                  </w:rPr>
                  <m:t>(1-β))-</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ρ</m:t>
                    </m:r>
                  </m:num>
                  <m:den>
                    <m:r>
                      <w:rPr>
                        <w:rFonts w:ascii="Cambria Math" w:eastAsiaTheme="minorEastAsia" w:hAnsi="Cambria Math" w:cstheme="majorBidi"/>
                        <w:sz w:val="24"/>
                        <w:szCs w:val="24"/>
                      </w:rPr>
                      <m:t>1+s</m:t>
                    </m:r>
                  </m:den>
                </m:f>
                <m:func>
                  <m:funcPr>
                    <m:ctrlPr>
                      <w:rPr>
                        <w:rFonts w:ascii="Cambria Math" w:eastAsiaTheme="minorEastAsia" w:hAnsi="Cambria Math" w:cstheme="majorBidi"/>
                        <w:i/>
                        <w:sz w:val="24"/>
                        <w:szCs w:val="24"/>
                      </w:rPr>
                    </m:ctrlPr>
                  </m:funcPr>
                  <m:fName>
                    <m:r>
                      <m:rPr>
                        <m:sty m:val="p"/>
                      </m:rPr>
                      <w:rPr>
                        <w:rFonts w:ascii="Cambria Math" w:hAnsi="Cambria Math" w:cstheme="majorBidi"/>
                        <w:sz w:val="24"/>
                        <w:szCs w:val="24"/>
                      </w:rPr>
                      <m:t>ln</m:t>
                    </m:r>
                  </m:fName>
                  <m:e>
                    <m:r>
                      <w:rPr>
                        <w:rFonts w:ascii="Cambria Math" w:eastAsiaTheme="minorEastAsia" w:hAnsi="Cambria Math" w:cstheme="majorBidi"/>
                        <w:sz w:val="24"/>
                        <w:szCs w:val="24"/>
                      </w:rPr>
                      <m:t>θ</m:t>
                    </m:r>
                  </m:e>
                </m:func>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α</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1+ρ</m:t>
                        </m:r>
                      </m:num>
                      <m:den>
                        <m:r>
                          <w:rPr>
                            <w:rFonts w:ascii="Cambria Math" w:eastAsiaTheme="minorEastAsia" w:hAnsi="Cambria Math" w:cstheme="majorBidi"/>
                            <w:sz w:val="24"/>
                            <w:szCs w:val="24"/>
                          </w:rPr>
                          <m:t>s</m:t>
                        </m:r>
                      </m:den>
                    </m:f>
                  </m:num>
                  <m:den>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1+ρ</m:t>
                            </m:r>
                          </m:e>
                        </m:d>
                      </m:den>
                    </m:f>
                  </m:den>
                </m:f>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 xml:space="preserve"> α</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f>
                      <m:fPr>
                        <m:type m:val="lin"/>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1+ρ</m:t>
                            </m:r>
                          </m:e>
                        </m:d>
                      </m:den>
                    </m:f>
                  </m:den>
                </m:f>
              </m:oMath>
            </m:oMathPara>
          </w:p>
        </w:tc>
        <w:tc>
          <w:tcPr>
            <w:tcW w:w="1073" w:type="dxa"/>
            <w:vAlign w:val="center"/>
          </w:tcPr>
          <w:p w14:paraId="752C7E0D" w14:textId="77777777" w:rsidR="009C06C0" w:rsidRDefault="009C06C0" w:rsidP="00613E23">
            <w:pPr>
              <w:jc w:val="right"/>
              <w:rPr>
                <w:rFonts w:asciiTheme="majorBidi" w:eastAsiaTheme="minorEastAsia" w:hAnsiTheme="majorBidi" w:cstheme="majorBidi"/>
                <w:sz w:val="24"/>
                <w:szCs w:val="24"/>
              </w:rPr>
            </w:pPr>
            <w:r w:rsidRPr="00174733">
              <w:rPr>
                <w:rFonts w:asciiTheme="majorBidi" w:eastAsiaTheme="minorEastAsia" w:hAnsiTheme="majorBidi" w:cstheme="majorBidi"/>
                <w:sz w:val="24"/>
                <w:szCs w:val="24"/>
              </w:rPr>
              <w:t>(</w:t>
            </w:r>
            <w:r>
              <w:rPr>
                <w:rFonts w:asciiTheme="majorBidi" w:eastAsiaTheme="minorEastAsia" w:hAnsiTheme="majorBidi" w:cstheme="majorBidi"/>
                <w:sz w:val="24"/>
                <w:szCs w:val="24"/>
              </w:rPr>
              <w:t>5</w:t>
            </w:r>
            <w:r w:rsidRPr="00174733">
              <w:rPr>
                <w:rFonts w:asciiTheme="majorBidi" w:eastAsiaTheme="minorEastAsia" w:hAnsiTheme="majorBidi" w:cstheme="majorBidi"/>
                <w:sz w:val="24"/>
                <w:szCs w:val="24"/>
              </w:rPr>
              <w:t>)</w:t>
            </w:r>
          </w:p>
        </w:tc>
      </w:tr>
    </w:tbl>
    <w:p w14:paraId="0AF1082E" w14:textId="77777777" w:rsidR="00A8001F" w:rsidRPr="00BE052D" w:rsidRDefault="00A8001F" w:rsidP="00DC6EDA">
      <w:pPr>
        <w:spacing w:after="0" w:line="240" w:lineRule="auto"/>
        <w:jc w:val="both"/>
        <w:rPr>
          <w:rFonts w:asciiTheme="majorBidi" w:hAnsiTheme="majorBidi"/>
          <w:color w:val="000000"/>
          <w:sz w:val="24"/>
        </w:rPr>
      </w:pPr>
    </w:p>
    <w:p w14:paraId="75C04696" w14:textId="58EBACBC" w:rsidR="00A8001F" w:rsidRPr="00BE052D" w:rsidRDefault="00F5690D" w:rsidP="00613E23">
      <w:pPr>
        <w:spacing w:after="0" w:line="240" w:lineRule="auto"/>
        <w:jc w:val="both"/>
        <w:rPr>
          <w:rFonts w:asciiTheme="majorBidi" w:hAnsiTheme="majorBidi"/>
          <w:color w:val="000000"/>
          <w:sz w:val="24"/>
        </w:rPr>
      </w:pPr>
      <w:r w:rsidRPr="00BE052D">
        <w:rPr>
          <w:rFonts w:asciiTheme="majorBidi" w:hAnsiTheme="majorBidi"/>
          <w:color w:val="000000"/>
          <w:sz w:val="24"/>
        </w:rPr>
        <w:t>It can be observed that the expected effect of an increase in production is positive on employment</w:t>
      </w:r>
      <w:r w:rsidRPr="004C731D">
        <w:rPr>
          <w:rFonts w:asciiTheme="majorBidi" w:hAnsiTheme="majorBidi"/>
          <w:color w:val="000000"/>
          <w:sz w:val="24"/>
        </w:rPr>
        <w:t xml:space="preserve"> and vice versa. This theoretical model will be used to estimate the causal impact of the economy on employment in the following section.</w:t>
      </w:r>
    </w:p>
    <w:p w14:paraId="74F4E9F3" w14:textId="77777777" w:rsidR="00A8001F" w:rsidRPr="00BE052D" w:rsidRDefault="00A8001F" w:rsidP="00DC6EDA">
      <w:pPr>
        <w:spacing w:after="0" w:line="240" w:lineRule="auto"/>
        <w:jc w:val="both"/>
        <w:rPr>
          <w:rFonts w:asciiTheme="majorBidi" w:hAnsiTheme="majorBidi"/>
          <w:color w:val="000000"/>
          <w:sz w:val="24"/>
        </w:rPr>
      </w:pPr>
    </w:p>
    <w:p w14:paraId="3714A2A6" w14:textId="497D18F4" w:rsidR="00F5690D" w:rsidRPr="0016142F" w:rsidRDefault="00F5690D"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3.3 </w:t>
      </w:r>
      <w:r w:rsidR="00A8001F" w:rsidRPr="00AA1CA4">
        <w:rPr>
          <w:rFonts w:asciiTheme="majorBidi" w:hAnsiTheme="majorBidi"/>
          <w:b/>
          <w:color w:val="000000"/>
          <w:sz w:val="24"/>
        </w:rPr>
        <w:t xml:space="preserve">Vector </w:t>
      </w:r>
      <w:r w:rsidR="003C0228" w:rsidRPr="0038232E">
        <w:rPr>
          <w:rFonts w:asciiTheme="majorBidi" w:hAnsiTheme="majorBidi" w:cstheme="majorBidi"/>
          <w:b/>
          <w:bCs/>
          <w:color w:val="000000"/>
          <w:sz w:val="24"/>
          <w:szCs w:val="24"/>
        </w:rPr>
        <w:t>autoregressive</w:t>
      </w:r>
      <w:r w:rsidR="003C0228" w:rsidRPr="004C731D">
        <w:rPr>
          <w:rFonts w:asciiTheme="majorBidi" w:hAnsiTheme="majorBidi"/>
          <w:b/>
          <w:color w:val="000000"/>
          <w:sz w:val="24"/>
        </w:rPr>
        <w:t xml:space="preserve"> </w:t>
      </w:r>
      <w:r w:rsidR="00A8001F" w:rsidRPr="004C731D">
        <w:rPr>
          <w:rFonts w:asciiTheme="majorBidi" w:hAnsiTheme="majorBidi"/>
          <w:b/>
          <w:color w:val="000000"/>
          <w:sz w:val="24"/>
        </w:rPr>
        <w:t>(VAR) models</w:t>
      </w:r>
      <w:r w:rsidRPr="0016142F">
        <w:rPr>
          <w:rFonts w:asciiTheme="majorBidi" w:hAnsiTheme="majorBidi"/>
          <w:b/>
          <w:color w:val="000000"/>
          <w:sz w:val="24"/>
        </w:rPr>
        <w:t xml:space="preserve"> </w:t>
      </w:r>
    </w:p>
    <w:p w14:paraId="5B30B8D4" w14:textId="77777777" w:rsidR="00A8001F" w:rsidRPr="00BE052D" w:rsidRDefault="00A8001F" w:rsidP="00DC6EDA">
      <w:pPr>
        <w:spacing w:after="0" w:line="240" w:lineRule="auto"/>
        <w:jc w:val="both"/>
        <w:rPr>
          <w:rFonts w:asciiTheme="majorBidi" w:hAnsiTheme="majorBidi"/>
          <w:color w:val="000000"/>
          <w:sz w:val="24"/>
        </w:rPr>
      </w:pPr>
    </w:p>
    <w:p w14:paraId="10241101" w14:textId="328A5994" w:rsidR="00F5690D" w:rsidRPr="00BE052D" w:rsidRDefault="00F5690D" w:rsidP="006806EB">
      <w:pPr>
        <w:spacing w:after="0" w:line="240" w:lineRule="auto"/>
        <w:jc w:val="both"/>
        <w:rPr>
          <w:rFonts w:asciiTheme="majorBidi" w:hAnsiTheme="majorBidi"/>
          <w:color w:val="000000"/>
          <w:sz w:val="24"/>
        </w:rPr>
      </w:pPr>
      <w:r w:rsidRPr="00BE052D">
        <w:rPr>
          <w:rFonts w:asciiTheme="majorBidi" w:hAnsiTheme="majorBidi"/>
          <w:color w:val="000000"/>
          <w:sz w:val="24"/>
        </w:rPr>
        <w:t>Given the nature of the theoretical model and the simultaneous interactions that productivity and employment variables represent, an unrestricted reduced</w:t>
      </w:r>
      <w:r w:rsidR="00E662C5">
        <w:rPr>
          <w:rFonts w:asciiTheme="majorBidi" w:hAnsiTheme="majorBidi"/>
          <w:color w:val="000000"/>
          <w:sz w:val="24"/>
        </w:rPr>
        <w:t>-</w:t>
      </w:r>
      <w:r w:rsidRPr="004C731D">
        <w:rPr>
          <w:rFonts w:asciiTheme="majorBidi" w:hAnsiTheme="majorBidi"/>
          <w:color w:val="000000"/>
          <w:sz w:val="24"/>
        </w:rPr>
        <w:t xml:space="preserve">form </w:t>
      </w:r>
      <w:r w:rsidR="003C0228" w:rsidRPr="00F5690D">
        <w:rPr>
          <w:rFonts w:asciiTheme="majorBidi" w:hAnsiTheme="majorBidi" w:cstheme="majorBidi"/>
          <w:color w:val="000000"/>
          <w:sz w:val="24"/>
          <w:szCs w:val="24"/>
        </w:rPr>
        <w:t xml:space="preserve">vector autoregressive </w:t>
      </w:r>
      <w:r w:rsidRPr="004C731D">
        <w:rPr>
          <w:rFonts w:asciiTheme="majorBidi" w:hAnsiTheme="majorBidi"/>
          <w:color w:val="000000"/>
          <w:sz w:val="24"/>
        </w:rPr>
        <w:t xml:space="preserve">(VAR) econometric model is presented. If the VAR model is presented in </w:t>
      </w:r>
      <w:r w:rsidR="00A8001F" w:rsidRPr="004C731D">
        <w:rPr>
          <w:rFonts w:asciiTheme="majorBidi" w:hAnsiTheme="majorBidi"/>
          <w:color w:val="000000"/>
          <w:sz w:val="24"/>
        </w:rPr>
        <w:t xml:space="preserve">the </w:t>
      </w:r>
      <w:r w:rsidRPr="0016142F">
        <w:rPr>
          <w:rFonts w:asciiTheme="majorBidi" w:hAnsiTheme="majorBidi"/>
          <w:color w:val="000000"/>
          <w:sz w:val="24"/>
        </w:rPr>
        <w:t>reduced form</w:t>
      </w:r>
      <w:r w:rsidR="0099612A">
        <w:rPr>
          <w:rFonts w:asciiTheme="majorBidi" w:hAnsiTheme="majorBidi" w:cstheme="majorBidi"/>
          <w:color w:val="000000"/>
          <w:sz w:val="24"/>
          <w:szCs w:val="24"/>
        </w:rPr>
        <w:t>,</w:t>
      </w:r>
      <w:r w:rsidRPr="00F5690D">
        <w:rPr>
          <w:rFonts w:asciiTheme="majorBidi" w:hAnsiTheme="majorBidi" w:cstheme="majorBidi"/>
          <w:color w:val="000000"/>
          <w:sz w:val="24"/>
          <w:szCs w:val="24"/>
        </w:rPr>
        <w:t xml:space="preserve"> </w:t>
      </w:r>
      <w:r w:rsidR="0099612A">
        <w:rPr>
          <w:rFonts w:asciiTheme="majorBidi" w:hAnsiTheme="majorBidi" w:cstheme="majorBidi"/>
          <w:color w:val="000000"/>
          <w:sz w:val="24"/>
          <w:szCs w:val="24"/>
        </w:rPr>
        <w:t>this</w:t>
      </w:r>
      <w:r w:rsidR="0099612A" w:rsidRPr="004C731D">
        <w:rPr>
          <w:rFonts w:asciiTheme="majorBidi" w:hAnsiTheme="majorBidi"/>
          <w:color w:val="000000"/>
          <w:sz w:val="24"/>
        </w:rPr>
        <w:t xml:space="preserve"> </w:t>
      </w:r>
      <w:r w:rsidRPr="004C731D">
        <w:rPr>
          <w:rFonts w:asciiTheme="majorBidi" w:hAnsiTheme="majorBidi"/>
          <w:color w:val="000000"/>
          <w:sz w:val="24"/>
        </w:rPr>
        <w:t>means the contemporaneous values of the model equations are not represented as explanatory variables in the model. In addition, it should be noted that the lags of each variable in the e</w:t>
      </w:r>
      <w:r w:rsidR="006806EB" w:rsidRPr="0016142F">
        <w:rPr>
          <w:rFonts w:asciiTheme="majorBidi" w:hAnsiTheme="majorBidi"/>
          <w:color w:val="000000"/>
          <w:sz w:val="24"/>
        </w:rPr>
        <w:t>ast are the exogenous variables</w:t>
      </w:r>
      <w:r w:rsidR="006806EB">
        <w:rPr>
          <w:rFonts w:asciiTheme="majorBidi" w:hAnsiTheme="majorBidi"/>
          <w:color w:val="000000"/>
          <w:sz w:val="24"/>
        </w:rPr>
        <w:t>;</w:t>
      </w:r>
      <w:r w:rsidR="006806EB" w:rsidRPr="004C731D">
        <w:rPr>
          <w:rFonts w:asciiTheme="majorBidi" w:hAnsiTheme="majorBidi"/>
          <w:color w:val="000000"/>
          <w:sz w:val="24"/>
        </w:rPr>
        <w:t xml:space="preserve"> </w:t>
      </w:r>
      <w:r w:rsidRPr="004C731D">
        <w:rPr>
          <w:rFonts w:asciiTheme="majorBidi" w:hAnsiTheme="majorBidi"/>
          <w:color w:val="000000"/>
          <w:sz w:val="24"/>
        </w:rPr>
        <w:t xml:space="preserve">on the other hand, the fact that the model is unrestricted means that each </w:t>
      </w:r>
      <w:r w:rsidR="00046A33">
        <w:rPr>
          <w:rFonts w:asciiTheme="majorBidi" w:hAnsiTheme="majorBidi" w:cstheme="majorBidi"/>
          <w:color w:val="000000"/>
          <w:sz w:val="24"/>
          <w:szCs w:val="24"/>
        </w:rPr>
        <w:t>variable</w:t>
      </w:r>
      <w:r w:rsidRPr="004C731D">
        <w:rPr>
          <w:rFonts w:asciiTheme="majorBidi" w:hAnsiTheme="majorBidi"/>
          <w:color w:val="000000"/>
          <w:sz w:val="24"/>
        </w:rPr>
        <w:t xml:space="preserve"> appear</w:t>
      </w:r>
      <w:r w:rsidR="0080040E" w:rsidRPr="004C731D">
        <w:rPr>
          <w:rFonts w:asciiTheme="majorBidi" w:hAnsiTheme="majorBidi"/>
          <w:color w:val="000000"/>
          <w:sz w:val="24"/>
        </w:rPr>
        <w:t>s</w:t>
      </w:r>
      <w:r w:rsidRPr="0016142F">
        <w:rPr>
          <w:rFonts w:asciiTheme="majorBidi" w:hAnsiTheme="majorBidi"/>
          <w:color w:val="000000"/>
          <w:sz w:val="24"/>
        </w:rPr>
        <w:t xml:space="preserve"> in each of the equations as explanatory variables.</w:t>
      </w:r>
    </w:p>
    <w:p w14:paraId="3086DFA0" w14:textId="77777777" w:rsidR="00A8001F" w:rsidRPr="00BE052D" w:rsidRDefault="00A8001F" w:rsidP="00DC6EDA">
      <w:pPr>
        <w:spacing w:after="0" w:line="240" w:lineRule="auto"/>
        <w:jc w:val="both"/>
        <w:rPr>
          <w:rFonts w:asciiTheme="majorBidi" w:hAnsiTheme="majorBidi"/>
          <w:color w:val="000000"/>
          <w:sz w:val="24"/>
        </w:rPr>
      </w:pPr>
    </w:p>
    <w:p w14:paraId="6A4FBFB0" w14:textId="009B62C1" w:rsidR="00F5690D" w:rsidRPr="004C731D" w:rsidRDefault="00F5690D" w:rsidP="00046A33">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specification of this model is very useful when </w:t>
      </w:r>
      <w:r w:rsidR="0080040E" w:rsidRPr="00AA1CA4">
        <w:rPr>
          <w:rFonts w:asciiTheme="majorBidi" w:hAnsiTheme="majorBidi"/>
          <w:color w:val="000000"/>
          <w:sz w:val="24"/>
        </w:rPr>
        <w:t>variables are simultaneou</w:t>
      </w:r>
      <w:r w:rsidRPr="00AA1CA4">
        <w:rPr>
          <w:rFonts w:asciiTheme="majorBidi" w:hAnsiTheme="majorBidi"/>
          <w:color w:val="000000"/>
          <w:sz w:val="24"/>
        </w:rPr>
        <w:t>s</w:t>
      </w:r>
      <w:r w:rsidR="0080040E" w:rsidRPr="00AA1CA4">
        <w:rPr>
          <w:rFonts w:asciiTheme="majorBidi" w:hAnsiTheme="majorBidi"/>
          <w:color w:val="000000"/>
          <w:sz w:val="24"/>
        </w:rPr>
        <w:t>ly determined</w:t>
      </w:r>
      <w:r w:rsidRPr="00AF4A07">
        <w:rPr>
          <w:rFonts w:asciiTheme="majorBidi" w:hAnsiTheme="majorBidi"/>
          <w:color w:val="000000"/>
          <w:sz w:val="24"/>
        </w:rPr>
        <w:t xml:space="preserve"> a</w:t>
      </w:r>
      <w:r w:rsidRPr="00BB74DA">
        <w:rPr>
          <w:rFonts w:asciiTheme="majorBidi" w:hAnsiTheme="majorBidi"/>
          <w:color w:val="000000"/>
          <w:sz w:val="24"/>
        </w:rPr>
        <w:t xml:space="preserve">nd </w:t>
      </w:r>
      <w:r w:rsidRPr="004C731D">
        <w:rPr>
          <w:rFonts w:asciiTheme="majorBidi" w:hAnsiTheme="majorBidi"/>
          <w:color w:val="000000"/>
          <w:sz w:val="24"/>
        </w:rPr>
        <w:t>helps us to find persistence between variables in the long run (optimal specification of lags),</w:t>
      </w:r>
      <w:r w:rsidR="00046A33">
        <w:rPr>
          <w:rFonts w:asciiTheme="majorBidi" w:hAnsiTheme="majorBidi" w:cstheme="majorBidi"/>
          <w:color w:val="000000"/>
          <w:sz w:val="24"/>
          <w:szCs w:val="24"/>
        </w:rPr>
        <w:t xml:space="preserve"> and</w:t>
      </w:r>
      <w:r w:rsidRPr="004C731D">
        <w:rPr>
          <w:rFonts w:asciiTheme="majorBidi" w:hAnsiTheme="majorBidi"/>
          <w:color w:val="000000"/>
          <w:sz w:val="24"/>
        </w:rPr>
        <w:t xml:space="preserve"> this is possible because no restrictions are imposed on the model, thus avoiding specification errors.</w:t>
      </w:r>
    </w:p>
    <w:p w14:paraId="478213F4" w14:textId="77777777" w:rsidR="00A8001F" w:rsidRPr="00BE052D" w:rsidRDefault="00A8001F" w:rsidP="00DC6EDA">
      <w:pPr>
        <w:spacing w:after="0" w:line="240" w:lineRule="auto"/>
        <w:jc w:val="both"/>
        <w:rPr>
          <w:rFonts w:asciiTheme="majorBidi" w:hAnsiTheme="majorBidi"/>
          <w:color w:val="000000"/>
          <w:sz w:val="24"/>
        </w:rPr>
      </w:pPr>
    </w:p>
    <w:p w14:paraId="4EDC0014" w14:textId="00B8153F" w:rsidR="00F5690D" w:rsidRPr="00BE052D" w:rsidRDefault="00F5690D" w:rsidP="00046A33">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We start by defining our variables of interest represented in growth rates, </w:t>
      </w:r>
      <w:r w:rsidR="00046A33">
        <w:rPr>
          <w:rFonts w:asciiTheme="majorBidi" w:hAnsiTheme="majorBidi" w:cstheme="majorBidi"/>
          <w:color w:val="000000"/>
          <w:sz w:val="24"/>
          <w:szCs w:val="24"/>
        </w:rPr>
        <w:t>with</w:t>
      </w:r>
      <w:r w:rsidR="00046A33" w:rsidRPr="00F5690D">
        <w:rPr>
          <w:rFonts w:asciiTheme="majorBidi" w:hAnsiTheme="majorBidi" w:cstheme="majorBidi"/>
          <w:color w:val="000000"/>
          <w:sz w:val="24"/>
          <w:szCs w:val="24"/>
        </w:rPr>
        <w:t xml:space="preserve"> </w:t>
      </w:r>
      <w:r w:rsidRPr="00F5690D">
        <w:rPr>
          <w:rFonts w:ascii="Cambria Math" w:hAnsi="Cambria Math" w:cs="Cambria Math"/>
          <w:color w:val="000000"/>
          <w:sz w:val="24"/>
          <w:szCs w:val="24"/>
        </w:rPr>
        <w:t>𝑦</w:t>
      </w:r>
      <w:r w:rsidRPr="00067133">
        <w:rPr>
          <w:rFonts w:asciiTheme="majorBidi" w:hAnsiTheme="majorBidi" w:cstheme="majorBidi"/>
          <w:color w:val="000000"/>
          <w:sz w:val="24"/>
          <w:szCs w:val="24"/>
          <w:vertAlign w:val="subscript"/>
        </w:rPr>
        <w:t>1</w:t>
      </w:r>
      <w:r w:rsidRPr="00067133">
        <w:rPr>
          <w:rFonts w:ascii="Cambria Math" w:hAnsi="Cambria Math" w:cs="Cambria Math"/>
          <w:color w:val="000000"/>
          <w:sz w:val="24"/>
          <w:szCs w:val="24"/>
          <w:vertAlign w:val="subscript"/>
        </w:rPr>
        <w:t>𝑡</w:t>
      </w:r>
      <w:r w:rsidRPr="00F5690D">
        <w:rPr>
          <w:rFonts w:asciiTheme="majorBidi" w:hAnsiTheme="majorBidi" w:cstheme="majorBidi"/>
          <w:color w:val="000000"/>
          <w:sz w:val="24"/>
          <w:szCs w:val="24"/>
        </w:rPr>
        <w:t xml:space="preserve"> </w:t>
      </w:r>
      <w:r w:rsidR="00046A33" w:rsidRPr="004C731D">
        <w:rPr>
          <w:rFonts w:asciiTheme="majorBidi" w:hAnsiTheme="majorBidi"/>
          <w:color w:val="000000"/>
          <w:sz w:val="24"/>
        </w:rPr>
        <w:t xml:space="preserve">being </w:t>
      </w:r>
      <w:r w:rsidR="00046A33">
        <w:rPr>
          <w:rFonts w:asciiTheme="majorBidi" w:hAnsiTheme="majorBidi" w:cstheme="majorBidi"/>
          <w:color w:val="000000"/>
          <w:sz w:val="24"/>
          <w:szCs w:val="24"/>
        </w:rPr>
        <w:t>the</w:t>
      </w:r>
      <w:r w:rsidR="00046A33" w:rsidRPr="004C731D">
        <w:rPr>
          <w:rFonts w:asciiTheme="majorBidi" w:hAnsiTheme="majorBidi"/>
          <w:color w:val="000000"/>
          <w:sz w:val="24"/>
        </w:rPr>
        <w:t xml:space="preserve"> </w:t>
      </w:r>
      <w:r w:rsidRPr="004C731D">
        <w:rPr>
          <w:rFonts w:asciiTheme="majorBidi" w:hAnsiTheme="majorBidi"/>
          <w:color w:val="000000"/>
          <w:sz w:val="24"/>
        </w:rPr>
        <w:t xml:space="preserve">formal employment of men,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2</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00046A33">
        <w:rPr>
          <w:rFonts w:asciiTheme="majorBidi" w:hAnsiTheme="majorBidi" w:cstheme="majorBidi"/>
          <w:color w:val="000000"/>
          <w:sz w:val="24"/>
          <w:szCs w:val="24"/>
        </w:rPr>
        <w:t xml:space="preserve">the </w:t>
      </w:r>
      <w:r w:rsidRPr="004C731D">
        <w:rPr>
          <w:rFonts w:asciiTheme="majorBidi" w:hAnsiTheme="majorBidi"/>
          <w:color w:val="000000"/>
          <w:sz w:val="24"/>
        </w:rPr>
        <w:t xml:space="preserve">formal employment of women,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3</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Pr="00F5690D">
        <w:rPr>
          <w:rFonts w:asciiTheme="majorBidi" w:hAnsiTheme="majorBidi" w:cstheme="majorBidi"/>
          <w:color w:val="000000"/>
          <w:sz w:val="24"/>
          <w:szCs w:val="24"/>
        </w:rPr>
        <w:t>men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informal </w:t>
      </w:r>
      <w:r w:rsidRPr="004C731D">
        <w:rPr>
          <w:rFonts w:asciiTheme="majorBidi" w:hAnsiTheme="majorBidi"/>
          <w:color w:val="000000"/>
          <w:sz w:val="24"/>
        </w:rPr>
        <w:lastRenderedPageBreak/>
        <w:t xml:space="preserve">employment,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4</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Pr="00F5690D">
        <w:rPr>
          <w:rFonts w:asciiTheme="majorBidi" w:hAnsiTheme="majorBidi" w:cstheme="majorBidi"/>
          <w:color w:val="000000"/>
          <w:sz w:val="24"/>
          <w:szCs w:val="24"/>
        </w:rPr>
        <w:t>women</w:t>
      </w:r>
      <w:r w:rsidR="00317BF0">
        <w:rPr>
          <w:rFonts w:asciiTheme="majorBidi" w:hAnsiTheme="majorBidi" w:cstheme="majorBidi"/>
          <w:color w:val="000000"/>
          <w:sz w:val="24"/>
          <w:szCs w:val="24"/>
        </w:rPr>
        <w:t>'</w:t>
      </w:r>
      <w:r w:rsidRPr="00F5690D">
        <w:rPr>
          <w:rFonts w:asciiTheme="majorBidi" w:hAnsiTheme="majorBidi" w:cstheme="majorBidi"/>
          <w:color w:val="000000"/>
          <w:sz w:val="24"/>
          <w:szCs w:val="24"/>
        </w:rPr>
        <w:t>s</w:t>
      </w:r>
      <w:r w:rsidRPr="004C731D">
        <w:rPr>
          <w:rFonts w:asciiTheme="majorBidi" w:hAnsiTheme="majorBidi"/>
          <w:color w:val="000000"/>
          <w:sz w:val="24"/>
        </w:rPr>
        <w:t xml:space="preserve"> informal employment,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5</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w:t>
      </w:r>
      <w:r w:rsidR="00067133" w:rsidRPr="004C731D">
        <w:rPr>
          <w:rFonts w:asciiTheme="majorBidi" w:hAnsiTheme="majorBidi"/>
          <w:color w:val="000000"/>
          <w:sz w:val="24"/>
        </w:rPr>
        <w:t xml:space="preserve">real </w:t>
      </w:r>
      <w:r w:rsidRPr="0016142F">
        <w:rPr>
          <w:rFonts w:asciiTheme="majorBidi" w:hAnsiTheme="majorBidi"/>
          <w:color w:val="000000"/>
          <w:sz w:val="24"/>
        </w:rPr>
        <w:t>GDP</w:t>
      </w:r>
      <w:r w:rsidR="00046A33">
        <w:rPr>
          <w:rFonts w:asciiTheme="majorBidi" w:hAnsiTheme="majorBidi" w:cstheme="majorBidi"/>
          <w:color w:val="000000"/>
          <w:sz w:val="24"/>
          <w:szCs w:val="24"/>
        </w:rPr>
        <w:t>,</w:t>
      </w:r>
      <w:r w:rsidRPr="004C731D">
        <w:rPr>
          <w:rFonts w:asciiTheme="majorBidi" w:hAnsiTheme="majorBidi"/>
          <w:color w:val="000000"/>
          <w:sz w:val="24"/>
        </w:rPr>
        <w:t xml:space="preserve"> and, finally, </w:t>
      </w:r>
      <w:r w:rsidRPr="00F5690D">
        <w:rPr>
          <w:rFonts w:ascii="Cambria Math" w:hAnsi="Cambria Math" w:cs="Cambria Math"/>
          <w:color w:val="000000"/>
          <w:sz w:val="24"/>
          <w:szCs w:val="24"/>
        </w:rPr>
        <w:t>𝑦</w:t>
      </w:r>
      <w:r w:rsidRPr="004C731D">
        <w:rPr>
          <w:rFonts w:asciiTheme="majorBidi" w:hAnsiTheme="majorBidi"/>
          <w:color w:val="000000"/>
          <w:sz w:val="24"/>
          <w:vertAlign w:val="subscript"/>
        </w:rPr>
        <w:t>6</w:t>
      </w:r>
      <w:r w:rsidRPr="00067133">
        <w:rPr>
          <w:rFonts w:ascii="Cambria Math" w:hAnsi="Cambria Math" w:cs="Cambria Math"/>
          <w:color w:val="000000"/>
          <w:sz w:val="24"/>
          <w:szCs w:val="24"/>
          <w:vertAlign w:val="subscript"/>
        </w:rPr>
        <w:t>𝑡</w:t>
      </w:r>
      <w:r w:rsidRPr="004C731D">
        <w:rPr>
          <w:rFonts w:asciiTheme="majorBidi" w:hAnsiTheme="majorBidi"/>
          <w:color w:val="000000"/>
          <w:sz w:val="24"/>
        </w:rPr>
        <w:t xml:space="preserve"> the real hourly wage. </w:t>
      </w:r>
      <w:r w:rsidR="00962F88" w:rsidRPr="004C731D">
        <w:rPr>
          <w:rFonts w:asciiTheme="majorBidi" w:hAnsiTheme="majorBidi"/>
          <w:color w:val="000000"/>
          <w:sz w:val="24"/>
        </w:rPr>
        <w:t>Also</w:t>
      </w:r>
      <w:r w:rsidRPr="0016142F">
        <w:rPr>
          <w:rFonts w:asciiTheme="majorBidi" w:hAnsiTheme="majorBidi"/>
          <w:color w:val="000000"/>
          <w:sz w:val="24"/>
        </w:rPr>
        <w:t>, each vector has its respective autoregressive components, as well as a vector of components associated with the white noise process, which is stationary and assumes a normal distribution. Another</w:t>
      </w:r>
      <w:r w:rsidRPr="00294B9C">
        <w:rPr>
          <w:rFonts w:asciiTheme="majorBidi" w:hAnsiTheme="majorBidi"/>
          <w:color w:val="000000"/>
          <w:sz w:val="24"/>
        </w:rPr>
        <w:t xml:space="preserve"> </w:t>
      </w:r>
      <w:r w:rsidR="003043FA">
        <w:rPr>
          <w:rFonts w:asciiTheme="majorBidi" w:hAnsiTheme="majorBidi"/>
          <w:color w:val="000000"/>
          <w:sz w:val="24"/>
        </w:rPr>
        <w:t>one</w:t>
      </w:r>
      <w:r w:rsidR="003043FA" w:rsidRPr="004C731D">
        <w:rPr>
          <w:rFonts w:asciiTheme="majorBidi" w:hAnsiTheme="majorBidi"/>
          <w:color w:val="000000"/>
          <w:sz w:val="24"/>
        </w:rPr>
        <w:t xml:space="preserve"> </w:t>
      </w:r>
      <w:r w:rsidRPr="004C731D">
        <w:rPr>
          <w:rFonts w:asciiTheme="majorBidi" w:hAnsiTheme="majorBidi"/>
          <w:color w:val="000000"/>
          <w:sz w:val="24"/>
        </w:rPr>
        <w:t>of the characteristics associated with the specification of the empirical model is that all</w:t>
      </w:r>
      <w:r w:rsidR="00F74930" w:rsidRPr="00294B9C">
        <w:rPr>
          <w:rFonts w:asciiTheme="majorBidi" w:hAnsiTheme="majorBidi"/>
          <w:color w:val="000000"/>
          <w:sz w:val="24"/>
        </w:rPr>
        <w:t xml:space="preserve"> </w:t>
      </w:r>
      <w:r w:rsidR="00F74930">
        <w:rPr>
          <w:rFonts w:asciiTheme="majorBidi" w:hAnsiTheme="majorBidi" w:cstheme="majorBidi"/>
          <w:color w:val="000000"/>
          <w:sz w:val="24"/>
          <w:szCs w:val="24"/>
        </w:rPr>
        <w:t>of</w:t>
      </w:r>
      <w:r w:rsidRPr="004C731D">
        <w:rPr>
          <w:rFonts w:asciiTheme="majorBidi" w:hAnsiTheme="majorBidi"/>
          <w:color w:val="000000"/>
          <w:sz w:val="24"/>
        </w:rPr>
        <w:t xml:space="preserve"> its v</w:t>
      </w:r>
      <w:r w:rsidRPr="0016142F">
        <w:rPr>
          <w:rFonts w:asciiTheme="majorBidi" w:hAnsiTheme="majorBidi"/>
          <w:color w:val="000000"/>
          <w:sz w:val="24"/>
        </w:rPr>
        <w:t>ariables must comply with stationarity; these tests are detailed in the following section.</w:t>
      </w:r>
    </w:p>
    <w:p w14:paraId="2AF9B8BD" w14:textId="77777777" w:rsidR="00A8001F" w:rsidRPr="00BE052D" w:rsidRDefault="00A8001F" w:rsidP="00DC6EDA">
      <w:pPr>
        <w:spacing w:after="0" w:line="240" w:lineRule="auto"/>
        <w:jc w:val="both"/>
        <w:rPr>
          <w:rFonts w:asciiTheme="majorBidi" w:hAnsiTheme="majorBidi"/>
          <w:color w:val="000000"/>
          <w:sz w:val="24"/>
        </w:rPr>
      </w:pPr>
    </w:p>
    <w:p w14:paraId="1360376A" w14:textId="74AD2575" w:rsidR="00F5690D" w:rsidRPr="004C731D" w:rsidRDefault="00F5690D" w:rsidP="00DC6EDA">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Thus, the reduced matrix version of the VAR can be represented in terms of its characteristic polynomials defined over the number of </w:t>
      </w:r>
      <w:r w:rsidR="00317BF0">
        <w:rPr>
          <w:rFonts w:asciiTheme="majorBidi" w:hAnsiTheme="majorBidi"/>
          <w:color w:val="000000"/>
          <w:sz w:val="24"/>
        </w:rPr>
        <w:t>"</w:t>
      </w:r>
      <w:r w:rsidRPr="00AA1CA4">
        <w:rPr>
          <w:rFonts w:asciiTheme="majorBidi" w:hAnsiTheme="majorBidi"/>
          <w:color w:val="000000"/>
          <w:sz w:val="24"/>
        </w:rPr>
        <w:t>L</w:t>
      </w:r>
      <w:r w:rsidR="00317BF0">
        <w:rPr>
          <w:rFonts w:asciiTheme="majorBidi" w:hAnsiTheme="majorBidi"/>
          <w:color w:val="000000"/>
          <w:sz w:val="24"/>
        </w:rPr>
        <w:t>"</w:t>
      </w:r>
      <w:r w:rsidRPr="00BB74DA">
        <w:rPr>
          <w:rFonts w:asciiTheme="majorBidi" w:hAnsiTheme="majorBidi"/>
          <w:color w:val="000000"/>
          <w:sz w:val="24"/>
        </w:rPr>
        <w:t xml:space="preserve"> lags, </w:t>
      </w:r>
      <w:r w:rsidRPr="00F5690D">
        <w:rPr>
          <w:rFonts w:ascii="Cambria Math" w:hAnsi="Cambria Math" w:cs="Cambria Math"/>
          <w:color w:val="000000"/>
          <w:sz w:val="24"/>
          <w:szCs w:val="24"/>
        </w:rPr>
        <w:t>𝑎</w:t>
      </w:r>
      <w:r w:rsidRPr="004C731D">
        <w:rPr>
          <w:rFonts w:asciiTheme="majorBidi" w:hAnsiTheme="majorBidi"/>
          <w:color w:val="000000"/>
          <w:sz w:val="24"/>
        </w:rPr>
        <w:t>(</w:t>
      </w:r>
      <w:r w:rsidRPr="00F5690D">
        <w:rPr>
          <w:rFonts w:ascii="Cambria Math" w:hAnsi="Cambria Math" w:cs="Cambria Math"/>
          <w:color w:val="000000"/>
          <w:sz w:val="24"/>
          <w:szCs w:val="24"/>
        </w:rPr>
        <w:t>𝐿</w:t>
      </w:r>
      <w:r w:rsidRPr="004C731D">
        <w:rPr>
          <w:rFonts w:asciiTheme="majorBidi" w:hAnsiTheme="majorBidi"/>
          <w:color w:val="000000"/>
          <w:sz w:val="24"/>
        </w:rPr>
        <w:t>,</w:t>
      </w:r>
      <w:r w:rsidRPr="00F5690D">
        <w:rPr>
          <w:rFonts w:ascii="Cambria Math" w:hAnsi="Cambria Math" w:cs="Cambria Math"/>
          <w:color w:val="000000"/>
          <w:sz w:val="24"/>
          <w:szCs w:val="24"/>
        </w:rPr>
        <w:t>𝜙</w:t>
      </w:r>
      <w:r w:rsidRPr="004C731D">
        <w:rPr>
          <w:rFonts w:asciiTheme="majorBidi" w:hAnsiTheme="majorBidi"/>
          <w:color w:val="000000"/>
          <w:sz w:val="24"/>
        </w:rPr>
        <w:t xml:space="preserve">) y </w:t>
      </w:r>
      <w:r w:rsidRPr="00F5690D">
        <w:rPr>
          <w:rFonts w:ascii="Cambria Math" w:hAnsi="Cambria Math" w:cs="Cambria Math"/>
          <w:color w:val="000000"/>
          <w:sz w:val="24"/>
          <w:szCs w:val="24"/>
        </w:rPr>
        <w:t>𝑏</w:t>
      </w:r>
      <w:r w:rsidRPr="004C731D">
        <w:rPr>
          <w:rFonts w:asciiTheme="majorBidi" w:hAnsiTheme="majorBidi"/>
          <w:color w:val="000000"/>
          <w:sz w:val="24"/>
        </w:rPr>
        <w:t>(</w:t>
      </w:r>
      <w:r w:rsidRPr="00F5690D">
        <w:rPr>
          <w:rFonts w:ascii="Cambria Math" w:hAnsi="Cambria Math" w:cs="Cambria Math"/>
          <w:color w:val="000000"/>
          <w:sz w:val="24"/>
          <w:szCs w:val="24"/>
        </w:rPr>
        <w:t>𝐿</w:t>
      </w:r>
      <w:r w:rsidRPr="004C731D">
        <w:rPr>
          <w:rFonts w:asciiTheme="majorBidi" w:hAnsiTheme="majorBidi"/>
          <w:color w:val="000000"/>
          <w:sz w:val="24"/>
        </w:rPr>
        <w:t>,</w:t>
      </w:r>
      <w:r w:rsidRPr="00F5690D">
        <w:rPr>
          <w:rFonts w:ascii="Cambria Math" w:hAnsi="Cambria Math" w:cs="Cambria Math"/>
          <w:color w:val="000000"/>
          <w:sz w:val="24"/>
          <w:szCs w:val="24"/>
        </w:rPr>
        <w:t>𝜙</w:t>
      </w:r>
      <w:r w:rsidRPr="00A46182">
        <w:rPr>
          <w:rFonts w:asciiTheme="majorBidi" w:hAnsiTheme="majorBidi"/>
          <w:color w:val="000000"/>
          <w:sz w:val="24"/>
        </w:rPr>
        <w:t>)</w:t>
      </w:r>
      <w:r w:rsidR="003043FA">
        <w:rPr>
          <w:rFonts w:asciiTheme="majorBidi" w:hAnsiTheme="majorBidi"/>
          <w:color w:val="000000"/>
          <w:sz w:val="24"/>
        </w:rPr>
        <w:t>,</w:t>
      </w:r>
      <w:r w:rsidRPr="004C731D">
        <w:rPr>
          <w:rFonts w:asciiTheme="majorBidi" w:hAnsiTheme="majorBidi"/>
          <w:color w:val="000000"/>
          <w:sz w:val="24"/>
        </w:rPr>
        <w:t xml:space="preserve"> as follows:</w:t>
      </w:r>
    </w:p>
    <w:p w14:paraId="75505928" w14:textId="77777777" w:rsidR="00A8001F" w:rsidRPr="00BE052D"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280C70" w14:paraId="4ACE98CF" w14:textId="77777777" w:rsidTr="00613E23">
        <w:tc>
          <w:tcPr>
            <w:tcW w:w="7905" w:type="dxa"/>
          </w:tcPr>
          <w:p w14:paraId="530404C0" w14:textId="77777777" w:rsidR="00280C70" w:rsidRDefault="00072B7C" w:rsidP="00613E23">
            <w:pPr>
              <w:jc w:val="cente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m:t>
              </m:r>
              <m:r>
                <w:rPr>
                  <w:rFonts w:ascii="Cambria Math" w:eastAsiaTheme="minorEastAsia" w:hAnsi="Cambria Math" w:cs="Times New Roman"/>
                  <w:sz w:val="24"/>
                  <w:szCs w:val="24"/>
                </w:rPr>
                <m:t xml:space="preserve"> </m:t>
              </m:r>
              <m:r>
                <w:rPr>
                  <w:rFonts w:ascii="Cambria Math" w:hAnsi="Cambria Math" w:cs="Times New Roman"/>
                </w:rPr>
                <m:t xml:space="preserve"> a</m:t>
              </m:r>
              <m:d>
                <m:dPr>
                  <m:ctrlPr>
                    <w:rPr>
                      <w:rFonts w:ascii="Cambria Math" w:hAnsi="Cambria Math" w:cs="Times New Roman"/>
                      <w:i/>
                    </w:rPr>
                  </m:ctrlPr>
                </m:dPr>
                <m:e>
                  <m:r>
                    <w:rPr>
                      <w:rFonts w:ascii="Cambria Math" w:hAnsi="Cambria Math" w:cs="Times New Roman"/>
                    </w:rPr>
                    <m:t>L,ϕ</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t-1</m:t>
                  </m:r>
                </m:sub>
              </m:sSub>
              <m:r>
                <w:rPr>
                  <w:rFonts w:ascii="Cambria Math" w:eastAsiaTheme="minorEastAsia" w:hAnsi="Cambria Math" w:cs="Times New Roman"/>
                </w:rPr>
                <m:t>+</m:t>
              </m:r>
              <m:r>
                <w:rPr>
                  <w:rFonts w:ascii="Cambria Math" w:hAnsi="Cambria Math" w:cs="Times New Roman"/>
                </w:rPr>
                <m:t xml:space="preserve"> b</m:t>
              </m:r>
              <m:d>
                <m:dPr>
                  <m:ctrlPr>
                    <w:rPr>
                      <w:rFonts w:ascii="Cambria Math" w:hAnsi="Cambria Math" w:cs="Times New Roman"/>
                      <w:i/>
                    </w:rPr>
                  </m:ctrlPr>
                </m:dPr>
                <m:e>
                  <m:r>
                    <w:rPr>
                      <w:rFonts w:ascii="Cambria Math" w:hAnsi="Cambria Math" w:cs="Times New Roman"/>
                    </w:rPr>
                    <m:t>L,θ</m:t>
                  </m:r>
                </m:e>
              </m:d>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280C70">
              <w:rPr>
                <w:rFonts w:ascii="Times New Roman" w:hAnsi="Times New Roman" w:cs="Times New Roman"/>
                <w:i/>
              </w:rPr>
              <w:t xml:space="preserve"> </w:t>
            </w:r>
          </w:p>
        </w:tc>
        <w:tc>
          <w:tcPr>
            <w:tcW w:w="1073" w:type="dxa"/>
          </w:tcPr>
          <w:p w14:paraId="5C37268B"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(6)</w:t>
            </w:r>
          </w:p>
        </w:tc>
      </w:tr>
      <w:tr w:rsidR="00280C70" w14:paraId="0581E669" w14:textId="77777777" w:rsidTr="00613E23">
        <w:trPr>
          <w:trHeight w:val="282"/>
        </w:trPr>
        <w:tc>
          <w:tcPr>
            <w:tcW w:w="7905" w:type="dxa"/>
          </w:tcPr>
          <w:p w14:paraId="72C90FC4" w14:textId="77777777" w:rsidR="00280C70" w:rsidRDefault="00072B7C" w:rsidP="00613E23">
            <w:pPr>
              <w:jc w:val="center"/>
              <w:rPr>
                <w:rFonts w:asciiTheme="majorBidi" w:eastAsiaTheme="minorEastAsia" w:hAnsiTheme="majorBidi" w:cstheme="majorBidi"/>
                <w:sz w:val="24"/>
                <w:szCs w:val="24"/>
              </w:rPr>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L,ϕ</m:t>
                  </m:r>
                </m:e>
              </m:d>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 xml:space="preserve">= </m:t>
              </m:r>
              <m:r>
                <w:rPr>
                  <w:rFonts w:ascii="Cambria Math" w:hAnsi="Cambria Math" w:cs="Times New Roman"/>
                </w:rPr>
                <m:t>b</m:t>
              </m:r>
              <m:d>
                <m:dPr>
                  <m:ctrlPr>
                    <w:rPr>
                      <w:rFonts w:ascii="Cambria Math" w:hAnsi="Cambria Math" w:cs="Times New Roman"/>
                      <w:i/>
                    </w:rPr>
                  </m:ctrlPr>
                </m:dPr>
                <m:e>
                  <m:r>
                    <w:rPr>
                      <w:rFonts w:ascii="Cambria Math" w:hAnsi="Cambria Math" w:cs="Times New Roman"/>
                    </w:rPr>
                    <m:t>L,θ</m:t>
                  </m:r>
                </m:e>
              </m:d>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280C70">
              <w:rPr>
                <w:rFonts w:ascii="Times New Roman" w:hAnsi="Times New Roman" w:cs="Times New Roman"/>
                <w:i/>
              </w:rPr>
              <w:t xml:space="preserve"> </w:t>
            </w:r>
          </w:p>
        </w:tc>
        <w:tc>
          <w:tcPr>
            <w:tcW w:w="1073" w:type="dxa"/>
          </w:tcPr>
          <w:p w14:paraId="266ED8DA"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(7)</w:t>
            </w:r>
          </w:p>
        </w:tc>
      </w:tr>
    </w:tbl>
    <w:p w14:paraId="15E4B830" w14:textId="77777777" w:rsidR="00A8001F" w:rsidRPr="00BE052D" w:rsidRDefault="00A8001F" w:rsidP="00DC6EDA">
      <w:pPr>
        <w:spacing w:after="0" w:line="240" w:lineRule="auto"/>
        <w:jc w:val="both"/>
        <w:rPr>
          <w:rFonts w:asciiTheme="majorBidi" w:hAnsiTheme="majorBidi"/>
          <w:color w:val="000000"/>
          <w:sz w:val="24"/>
        </w:rPr>
      </w:pPr>
    </w:p>
    <w:p w14:paraId="148FAA3A" w14:textId="0C35EADE" w:rsidR="00F5690D" w:rsidRPr="00AA1CA4" w:rsidRDefault="00F5690D" w:rsidP="00DC6EDA">
      <w:pPr>
        <w:spacing w:after="0" w:line="240" w:lineRule="auto"/>
        <w:jc w:val="both"/>
        <w:rPr>
          <w:rFonts w:asciiTheme="majorBidi" w:hAnsiTheme="majorBidi"/>
          <w:color w:val="000000"/>
          <w:sz w:val="24"/>
        </w:rPr>
      </w:pPr>
      <w:r w:rsidRPr="00BE052D">
        <w:rPr>
          <w:rFonts w:asciiTheme="majorBidi" w:hAnsiTheme="majorBidi"/>
          <w:color w:val="000000"/>
          <w:sz w:val="24"/>
        </w:rPr>
        <w:t xml:space="preserve">Given the </w:t>
      </w:r>
      <w:r w:rsidR="00962F88" w:rsidRPr="00AA1CA4">
        <w:rPr>
          <w:rFonts w:asciiTheme="majorBidi" w:hAnsiTheme="majorBidi"/>
          <w:color w:val="000000"/>
          <w:sz w:val="24"/>
        </w:rPr>
        <w:t xml:space="preserve">time </w:t>
      </w:r>
      <w:r w:rsidRPr="00AA1CA4">
        <w:rPr>
          <w:rFonts w:asciiTheme="majorBidi" w:hAnsiTheme="majorBidi"/>
          <w:color w:val="000000"/>
          <w:sz w:val="24"/>
        </w:rPr>
        <w:t>stability of the distribution of the series, it is possible to represent this process in terms of the Gaussian white noise process described in the following reduced form:</w:t>
      </w:r>
    </w:p>
    <w:p w14:paraId="4136938A" w14:textId="77777777" w:rsidR="00A8001F" w:rsidRPr="00294B9C" w:rsidRDefault="00A8001F" w:rsidP="00DC6EDA">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061"/>
      </w:tblGrid>
      <w:tr w:rsidR="00280C70" w14:paraId="042FADD7" w14:textId="77777777" w:rsidTr="00613E23">
        <w:trPr>
          <w:trHeight w:val="690"/>
        </w:trPr>
        <w:tc>
          <w:tcPr>
            <w:tcW w:w="7905" w:type="dxa"/>
          </w:tcPr>
          <w:p w14:paraId="0D0CE625" w14:textId="77777777" w:rsidR="00280C70" w:rsidRDefault="00072B7C" w:rsidP="00613E23">
            <w:pPr>
              <w:jc w:val="cente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hAnsi="Cambria Math" w:cs="Times New Roman"/>
                      </w:rPr>
                      <m:t>b</m:t>
                    </m:r>
                    <m:d>
                      <m:dPr>
                        <m:ctrlPr>
                          <w:rPr>
                            <w:rFonts w:ascii="Cambria Math" w:hAnsi="Cambria Math" w:cs="Times New Roman"/>
                            <w:i/>
                          </w:rPr>
                        </m:ctrlPr>
                      </m:dPr>
                      <m:e>
                        <m:r>
                          <w:rPr>
                            <w:rFonts w:ascii="Cambria Math" w:hAnsi="Cambria Math" w:cs="Times New Roman"/>
                          </w:rPr>
                          <m:t>L,θ</m:t>
                        </m:r>
                      </m:e>
                    </m:d>
                  </m:num>
                  <m:den>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L,ϕ</m:t>
                        </m:r>
                      </m:e>
                    </m:d>
                  </m:den>
                </m:f>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r>
                  <w:rPr>
                    <w:rFonts w:ascii="Cambria Math" w:eastAsiaTheme="minorEastAsia" w:hAnsi="Cambria Math" w:cstheme="majorBidi"/>
                  </w:rPr>
                  <m:t>=c(L,ϕ,θ)</m:t>
                </m:r>
                <m:sSub>
                  <m:sSubPr>
                    <m:ctrlPr>
                      <w:rPr>
                        <w:rFonts w:ascii="Cambria Math" w:eastAsiaTheme="minorEastAsia" w:hAnsi="Cambria Math" w:cs="Times New Roman"/>
                        <w:i/>
                      </w:rPr>
                    </m:ctrlPr>
                  </m:sSubPr>
                  <m:e>
                    <m:r>
                      <w:rPr>
                        <w:rFonts w:ascii="Cambria Math" w:eastAsiaTheme="minorEastAsia" w:hAnsi="Cambria Math" w:cs="Times New Roman"/>
                      </w:rPr>
                      <m:t>ε</m:t>
                    </m:r>
                  </m:e>
                  <m:sub>
                    <m:r>
                      <w:rPr>
                        <w:rFonts w:ascii="Cambria Math" w:eastAsiaTheme="minorEastAsia" w:hAnsi="Cambria Math" w:cs="Times New Roman"/>
                      </w:rPr>
                      <m:t>t</m:t>
                    </m:r>
                  </m:sub>
                </m:sSub>
              </m:oMath>
            </m:oMathPara>
          </w:p>
        </w:tc>
        <w:tc>
          <w:tcPr>
            <w:tcW w:w="1073" w:type="dxa"/>
            <w:vAlign w:val="center"/>
          </w:tcPr>
          <w:p w14:paraId="42E5C7D2" w14:textId="77777777" w:rsidR="00280C70" w:rsidRDefault="00280C70" w:rsidP="00613E23">
            <w:pPr>
              <w:jc w:val="right"/>
              <w:rPr>
                <w:rFonts w:asciiTheme="majorBidi" w:eastAsiaTheme="minorEastAsia" w:hAnsiTheme="majorBidi" w:cstheme="majorBidi"/>
                <w:sz w:val="24"/>
                <w:szCs w:val="24"/>
              </w:rPr>
            </w:pPr>
            <w:r>
              <w:rPr>
                <w:rFonts w:asciiTheme="majorBidi" w:eastAsiaTheme="minorEastAsia" w:hAnsiTheme="majorBidi" w:cstheme="majorBidi"/>
                <w:sz w:val="24"/>
                <w:szCs w:val="24"/>
              </w:rPr>
              <w:t>(8)</w:t>
            </w:r>
          </w:p>
        </w:tc>
      </w:tr>
    </w:tbl>
    <w:p w14:paraId="6676CA45" w14:textId="77777777" w:rsidR="00A8001F" w:rsidRPr="00666047" w:rsidRDefault="00A8001F" w:rsidP="00DC6EDA">
      <w:pPr>
        <w:spacing w:after="0" w:line="240" w:lineRule="auto"/>
        <w:jc w:val="both"/>
        <w:rPr>
          <w:rFonts w:asciiTheme="majorBidi" w:hAnsiTheme="majorBidi"/>
          <w:color w:val="000000"/>
          <w:sz w:val="24"/>
        </w:rPr>
      </w:pPr>
    </w:p>
    <w:p w14:paraId="16FCE38E" w14:textId="62F464DD" w:rsidR="004932B4" w:rsidRPr="008E7169" w:rsidRDefault="004932B4" w:rsidP="003043FA">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this case, the new characteristic polynomial </w:t>
      </w:r>
      <w:r w:rsidRPr="004932B4">
        <w:rPr>
          <w:rFonts w:ascii="Cambria Math" w:hAnsi="Cambria Math" w:cs="Cambria Math"/>
          <w:color w:val="000000"/>
          <w:sz w:val="24"/>
          <w:szCs w:val="24"/>
        </w:rPr>
        <w:t>𝑐</w:t>
      </w:r>
      <w:r w:rsidRPr="004C731D">
        <w:rPr>
          <w:rFonts w:asciiTheme="majorBidi" w:hAnsiTheme="majorBidi"/>
          <w:color w:val="000000"/>
          <w:sz w:val="24"/>
        </w:rPr>
        <w:t>(</w:t>
      </w:r>
      <w:r w:rsidRPr="004932B4">
        <w:rPr>
          <w:rFonts w:ascii="Cambria Math" w:hAnsi="Cambria Math" w:cs="Cambria Math"/>
          <w:color w:val="000000"/>
          <w:sz w:val="24"/>
          <w:szCs w:val="24"/>
        </w:rPr>
        <w:t>𝐿</w:t>
      </w:r>
      <w:r w:rsidRPr="004C731D">
        <w:rPr>
          <w:rFonts w:asciiTheme="majorBidi" w:hAnsiTheme="majorBidi"/>
          <w:color w:val="000000"/>
          <w:sz w:val="24"/>
        </w:rPr>
        <w:t>,</w:t>
      </w:r>
      <w:r w:rsidRPr="004932B4">
        <w:rPr>
          <w:rFonts w:ascii="Cambria Math" w:hAnsi="Cambria Math" w:cs="Cambria Math"/>
          <w:color w:val="000000"/>
          <w:sz w:val="24"/>
          <w:szCs w:val="24"/>
        </w:rPr>
        <w:t>𝜙</w:t>
      </w:r>
      <w:r w:rsidRPr="004C731D">
        <w:rPr>
          <w:rFonts w:asciiTheme="majorBidi" w:hAnsiTheme="majorBidi"/>
          <w:color w:val="000000"/>
          <w:sz w:val="24"/>
        </w:rPr>
        <w:t>,</w:t>
      </w:r>
      <w:r w:rsidRPr="004932B4">
        <w:rPr>
          <w:rFonts w:ascii="Cambria Math" w:hAnsi="Cambria Math" w:cs="Cambria Math"/>
          <w:color w:val="000000"/>
          <w:sz w:val="24"/>
          <w:szCs w:val="24"/>
        </w:rPr>
        <w:t>𝜃</w:t>
      </w:r>
      <w:r w:rsidRPr="004C731D">
        <w:rPr>
          <w:rFonts w:asciiTheme="majorBidi" w:hAnsiTheme="majorBidi"/>
          <w:color w:val="000000"/>
          <w:sz w:val="24"/>
        </w:rPr>
        <w:t xml:space="preserve">) is unique for each VAR process defined over the number of lags </w:t>
      </w:r>
      <w:r w:rsidR="00056F51" w:rsidRPr="004C731D">
        <w:rPr>
          <w:rFonts w:asciiTheme="majorBidi" w:hAnsiTheme="majorBidi"/>
          <w:color w:val="000000"/>
          <w:sz w:val="24"/>
        </w:rPr>
        <w:t>(</w:t>
      </w:r>
      <w:r w:rsidRPr="0016142F">
        <w:rPr>
          <w:rFonts w:asciiTheme="majorBidi" w:hAnsiTheme="majorBidi"/>
          <w:color w:val="000000"/>
          <w:sz w:val="24"/>
        </w:rPr>
        <w:t>L</w:t>
      </w:r>
      <w:r w:rsidR="00056F51" w:rsidRPr="0016142F">
        <w:rPr>
          <w:rFonts w:asciiTheme="majorBidi" w:hAnsiTheme="majorBidi"/>
          <w:color w:val="000000"/>
          <w:sz w:val="24"/>
        </w:rPr>
        <w:t>)</w:t>
      </w:r>
      <w:r w:rsidR="009B1A07" w:rsidRPr="0016142F">
        <w:rPr>
          <w:rFonts w:asciiTheme="majorBidi" w:hAnsiTheme="majorBidi"/>
          <w:color w:val="000000"/>
          <w:sz w:val="24"/>
        </w:rPr>
        <w:t>,</w:t>
      </w:r>
      <w:r w:rsidRPr="0016142F">
        <w:rPr>
          <w:rFonts w:asciiTheme="majorBidi" w:hAnsiTheme="majorBidi"/>
          <w:color w:val="000000"/>
          <w:sz w:val="24"/>
        </w:rPr>
        <w:t xml:space="preserve"> and</w:t>
      </w:r>
      <w:r w:rsidR="009B1A07" w:rsidRPr="008E7169">
        <w:rPr>
          <w:rFonts w:asciiTheme="majorBidi" w:hAnsiTheme="majorBidi"/>
          <w:color w:val="000000"/>
          <w:sz w:val="24"/>
        </w:rPr>
        <w:t xml:space="preserve"> </w:t>
      </w:r>
      <w:r w:rsidR="009B1A07">
        <w:rPr>
          <w:rFonts w:asciiTheme="majorBidi" w:hAnsiTheme="majorBidi" w:cstheme="majorBidi"/>
          <w:color w:val="000000"/>
          <w:sz w:val="24"/>
          <w:szCs w:val="24"/>
        </w:rPr>
        <w:t>we used</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 xml:space="preserve">the maximum likelihood method </w:t>
      </w:r>
      <w:r w:rsidR="009B1A07">
        <w:rPr>
          <w:rFonts w:asciiTheme="majorBidi" w:hAnsiTheme="majorBidi" w:cstheme="majorBidi"/>
          <w:color w:val="000000"/>
          <w:sz w:val="24"/>
          <w:szCs w:val="24"/>
        </w:rPr>
        <w:t>via</w:t>
      </w:r>
      <w:r w:rsidR="009B1A07" w:rsidRPr="004C731D">
        <w:rPr>
          <w:rFonts w:asciiTheme="majorBidi" w:hAnsiTheme="majorBidi"/>
          <w:color w:val="000000"/>
          <w:sz w:val="24"/>
        </w:rPr>
        <w:t xml:space="preserve"> </w:t>
      </w:r>
      <w:r w:rsidRPr="004C731D">
        <w:rPr>
          <w:rFonts w:asciiTheme="majorBidi" w:hAnsiTheme="majorBidi"/>
          <w:color w:val="000000"/>
          <w:sz w:val="24"/>
        </w:rPr>
        <w:t>the properties of the Gaussian process to recover the set of parameters associated with the original model</w:t>
      </w:r>
      <w:r w:rsidR="00F076FA" w:rsidRPr="0016142F">
        <w:rPr>
          <w:rFonts w:asciiTheme="majorBidi" w:hAnsiTheme="majorBidi"/>
          <w:color w:val="000000"/>
          <w:sz w:val="24"/>
        </w:rPr>
        <w:t>,</w:t>
      </w:r>
      <w:r w:rsidRPr="0016142F">
        <w:rPr>
          <w:rFonts w:asciiTheme="majorBidi" w:hAnsiTheme="majorBidi"/>
          <w:color w:val="000000"/>
          <w:sz w:val="24"/>
        </w:rPr>
        <w:t xml:space="preserve"> {</w:t>
      </w:r>
      <w:r w:rsidRPr="004932B4">
        <w:rPr>
          <w:rFonts w:ascii="Cambria Math" w:hAnsi="Cambria Math" w:cs="Cambria Math"/>
          <w:color w:val="000000"/>
          <w:sz w:val="24"/>
          <w:szCs w:val="24"/>
        </w:rPr>
        <w:t>𝜙</w:t>
      </w:r>
      <w:r w:rsidRPr="004C731D">
        <w:rPr>
          <w:rFonts w:asciiTheme="majorBidi" w:hAnsiTheme="majorBidi"/>
          <w:color w:val="000000"/>
          <w:sz w:val="24"/>
        </w:rPr>
        <w:t>,</w:t>
      </w:r>
      <w:r w:rsidRPr="004932B4">
        <w:rPr>
          <w:rFonts w:ascii="Cambria Math" w:hAnsi="Cambria Math" w:cs="Cambria Math"/>
          <w:color w:val="000000"/>
          <w:sz w:val="24"/>
          <w:szCs w:val="24"/>
        </w:rPr>
        <w:t>𝜃</w:t>
      </w:r>
      <w:r w:rsidRPr="004C731D">
        <w:rPr>
          <w:rFonts w:asciiTheme="majorBidi" w:hAnsiTheme="majorBidi"/>
          <w:color w:val="000000"/>
          <w:sz w:val="24"/>
        </w:rPr>
        <w:t>}</w:t>
      </w:r>
      <w:r w:rsidRPr="004932B4">
        <w:rPr>
          <w:rFonts w:asciiTheme="majorBidi" w:hAnsiTheme="majorBidi" w:cstheme="majorBidi"/>
          <w:color w:val="000000"/>
          <w:sz w:val="24"/>
          <w:szCs w:val="24"/>
        </w:rPr>
        <w:t>.</w:t>
      </w:r>
      <w:r w:rsidRPr="004C731D">
        <w:rPr>
          <w:rFonts w:asciiTheme="majorBidi" w:hAnsiTheme="majorBidi"/>
          <w:color w:val="000000"/>
          <w:sz w:val="24"/>
        </w:rPr>
        <w:t xml:space="preserve"> Finally, to know the optimal number of lags </w:t>
      </w:r>
      <w:r w:rsidR="003043FA">
        <w:rPr>
          <w:rFonts w:asciiTheme="majorBidi" w:hAnsiTheme="majorBidi"/>
          <w:color w:val="000000"/>
          <w:sz w:val="24"/>
        </w:rPr>
        <w:t>(</w:t>
      </w:r>
      <w:r w:rsidRPr="004C731D">
        <w:rPr>
          <w:rFonts w:asciiTheme="majorBidi" w:hAnsiTheme="majorBidi"/>
          <w:color w:val="000000"/>
          <w:sz w:val="24"/>
        </w:rPr>
        <w:t>L</w:t>
      </w:r>
      <w:r w:rsidR="003043FA">
        <w:rPr>
          <w:rFonts w:asciiTheme="majorBidi" w:hAnsiTheme="majorBidi"/>
          <w:color w:val="000000"/>
          <w:sz w:val="24"/>
        </w:rPr>
        <w:t>)</w:t>
      </w:r>
      <w:r w:rsidRPr="004C731D">
        <w:rPr>
          <w:rFonts w:asciiTheme="majorBidi" w:hAnsiTheme="majorBidi"/>
          <w:color w:val="000000"/>
          <w:sz w:val="24"/>
        </w:rPr>
        <w:t xml:space="preserve"> in the estimation</w:t>
      </w:r>
      <w:r w:rsidR="00D10DEE">
        <w:rPr>
          <w:rFonts w:asciiTheme="majorBidi" w:hAnsiTheme="majorBidi" w:cstheme="majorBidi"/>
          <w:color w:val="000000"/>
          <w:sz w:val="24"/>
          <w:szCs w:val="24"/>
        </w:rPr>
        <w:t>,</w:t>
      </w:r>
      <w:r w:rsidR="00D10DEE" w:rsidRPr="004C731D">
        <w:rPr>
          <w:rFonts w:asciiTheme="majorBidi" w:hAnsiTheme="majorBidi"/>
          <w:color w:val="000000"/>
          <w:sz w:val="24"/>
        </w:rPr>
        <w:t xml:space="preserve"> </w:t>
      </w:r>
      <w:r w:rsidRPr="004C731D">
        <w:rPr>
          <w:rFonts w:asciiTheme="majorBidi" w:hAnsiTheme="majorBidi"/>
          <w:color w:val="000000"/>
          <w:sz w:val="24"/>
        </w:rPr>
        <w:t>it is necessary to perform a series of tests, which we present in the estimation and results section.</w:t>
      </w:r>
    </w:p>
    <w:p w14:paraId="01A1A93A" w14:textId="6ED17BB3" w:rsidR="00A8001F" w:rsidRDefault="00A8001F" w:rsidP="00DC6EDA">
      <w:pPr>
        <w:spacing w:after="0" w:line="240" w:lineRule="auto"/>
        <w:jc w:val="both"/>
        <w:rPr>
          <w:rFonts w:asciiTheme="majorBidi" w:hAnsiTheme="majorBidi"/>
          <w:color w:val="000000"/>
          <w:sz w:val="24"/>
        </w:rPr>
      </w:pPr>
    </w:p>
    <w:p w14:paraId="7583775D" w14:textId="77777777" w:rsidR="00C56D67" w:rsidRPr="00666047" w:rsidRDefault="00C56D67" w:rsidP="00DC6EDA">
      <w:pPr>
        <w:spacing w:after="0" w:line="240" w:lineRule="auto"/>
        <w:jc w:val="both"/>
        <w:rPr>
          <w:rFonts w:asciiTheme="majorBidi" w:hAnsiTheme="majorBidi"/>
          <w:color w:val="000000"/>
          <w:sz w:val="24"/>
        </w:rPr>
      </w:pPr>
    </w:p>
    <w:p w14:paraId="2A02F765" w14:textId="296BF489" w:rsidR="004932B4" w:rsidRPr="00AA1CA4"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4. Estimat</w:t>
      </w:r>
      <w:r w:rsidR="00056F51" w:rsidRPr="00BE052D">
        <w:rPr>
          <w:rFonts w:asciiTheme="majorBidi" w:hAnsiTheme="majorBidi"/>
          <w:b/>
          <w:color w:val="000000"/>
          <w:sz w:val="24"/>
        </w:rPr>
        <w:t>ion</w:t>
      </w:r>
      <w:r w:rsidRPr="00BE052D">
        <w:rPr>
          <w:rFonts w:asciiTheme="majorBidi" w:hAnsiTheme="majorBidi"/>
          <w:b/>
          <w:color w:val="000000"/>
          <w:sz w:val="24"/>
        </w:rPr>
        <w:t xml:space="preserve"> and </w:t>
      </w:r>
      <w:r w:rsidR="00CB48D2" w:rsidRPr="00AA1CA4">
        <w:rPr>
          <w:rFonts w:asciiTheme="majorBidi" w:hAnsiTheme="majorBidi"/>
          <w:b/>
          <w:color w:val="000000"/>
          <w:sz w:val="24"/>
        </w:rPr>
        <w:t>r</w:t>
      </w:r>
      <w:r w:rsidRPr="00AA1CA4">
        <w:rPr>
          <w:rFonts w:asciiTheme="majorBidi" w:hAnsiTheme="majorBidi"/>
          <w:b/>
          <w:color w:val="000000"/>
          <w:sz w:val="24"/>
        </w:rPr>
        <w:t xml:space="preserve">esults </w:t>
      </w:r>
    </w:p>
    <w:p w14:paraId="59F8946F" w14:textId="77777777" w:rsidR="00A8001F" w:rsidRPr="00294B9C" w:rsidRDefault="00A8001F" w:rsidP="00DC6EDA">
      <w:pPr>
        <w:spacing w:after="0" w:line="240" w:lineRule="auto"/>
        <w:jc w:val="both"/>
        <w:rPr>
          <w:rFonts w:asciiTheme="majorBidi" w:hAnsiTheme="majorBidi"/>
          <w:b/>
          <w:color w:val="000000"/>
          <w:sz w:val="24"/>
        </w:rPr>
      </w:pPr>
    </w:p>
    <w:p w14:paraId="70820872" w14:textId="0DB64A4E" w:rsidR="004932B4" w:rsidRPr="004C731D" w:rsidRDefault="004932B4" w:rsidP="00973375">
      <w:pPr>
        <w:spacing w:after="0" w:line="240" w:lineRule="auto"/>
        <w:jc w:val="both"/>
        <w:rPr>
          <w:rFonts w:asciiTheme="majorBidi" w:hAnsiTheme="majorBidi"/>
          <w:color w:val="000000"/>
          <w:sz w:val="24"/>
        </w:rPr>
      </w:pPr>
      <w:r w:rsidRPr="00294B9C">
        <w:rPr>
          <w:rFonts w:asciiTheme="majorBidi" w:hAnsiTheme="majorBidi"/>
          <w:color w:val="000000"/>
          <w:sz w:val="24"/>
        </w:rPr>
        <w:t>The objective of th</w:t>
      </w:r>
      <w:r w:rsidR="00056F51" w:rsidRPr="00294B9C">
        <w:rPr>
          <w:rFonts w:asciiTheme="majorBidi" w:hAnsiTheme="majorBidi"/>
          <w:color w:val="000000"/>
          <w:sz w:val="24"/>
        </w:rPr>
        <w:t>is</w:t>
      </w:r>
      <w:r w:rsidRPr="00294B9C">
        <w:rPr>
          <w:rFonts w:asciiTheme="majorBidi" w:hAnsiTheme="majorBidi"/>
          <w:color w:val="000000"/>
          <w:sz w:val="24"/>
        </w:rPr>
        <w:t xml:space="preserve"> study is to analyze the structure and dynamics of employment under the impact of the COVID-19 crisis in Mexico, differentiating these impacts between structure and gender. </w:t>
      </w:r>
      <w:r w:rsidR="000C06E6">
        <w:rPr>
          <w:rFonts w:asciiTheme="majorBidi" w:hAnsiTheme="majorBidi" w:cstheme="majorBidi"/>
          <w:color w:val="000000"/>
          <w:sz w:val="24"/>
          <w:szCs w:val="24"/>
        </w:rPr>
        <w:t>We analyze</w:t>
      </w:r>
      <w:r w:rsidR="00DD7360">
        <w:rPr>
          <w:rFonts w:asciiTheme="majorBidi" w:hAnsiTheme="majorBidi" w:cstheme="majorBidi"/>
          <w:color w:val="000000"/>
          <w:sz w:val="24"/>
          <w:szCs w:val="24"/>
        </w:rPr>
        <w:t>d</w:t>
      </w:r>
      <w:r w:rsidR="000C06E6">
        <w:rPr>
          <w:rFonts w:asciiTheme="majorBidi" w:hAnsiTheme="majorBidi" w:cstheme="majorBidi"/>
          <w:color w:val="000000"/>
          <w:sz w:val="24"/>
          <w:szCs w:val="24"/>
        </w:rPr>
        <w:t xml:space="preserve"> t</w:t>
      </w:r>
      <w:r w:rsidRPr="004932B4">
        <w:rPr>
          <w:rFonts w:asciiTheme="majorBidi" w:hAnsiTheme="majorBidi" w:cstheme="majorBidi"/>
          <w:color w:val="000000"/>
          <w:sz w:val="24"/>
          <w:szCs w:val="24"/>
        </w:rPr>
        <w:t xml:space="preserve">he </w:t>
      </w:r>
      <w:r w:rsidRPr="004C731D">
        <w:rPr>
          <w:rFonts w:asciiTheme="majorBidi" w:hAnsiTheme="majorBidi"/>
          <w:color w:val="000000"/>
          <w:sz w:val="24"/>
        </w:rPr>
        <w:t>structure and dynamics of employment through a VAR model</w:t>
      </w:r>
      <w:r w:rsidR="000C06E6">
        <w:rPr>
          <w:rFonts w:asciiTheme="majorBidi" w:hAnsiTheme="majorBidi" w:cstheme="majorBidi"/>
          <w:color w:val="000000"/>
          <w:sz w:val="24"/>
          <w:szCs w:val="24"/>
        </w:rPr>
        <w:t>,</w:t>
      </w:r>
      <w:r w:rsidRPr="004C731D">
        <w:rPr>
          <w:rFonts w:asciiTheme="majorBidi" w:hAnsiTheme="majorBidi"/>
          <w:color w:val="000000"/>
          <w:sz w:val="24"/>
        </w:rPr>
        <w:t xml:space="preserve"> and once the dynamics are understood, we </w:t>
      </w:r>
      <w:r w:rsidRPr="00A46182">
        <w:rPr>
          <w:rFonts w:asciiTheme="majorBidi" w:hAnsiTheme="majorBidi"/>
          <w:color w:val="000000"/>
          <w:sz w:val="24"/>
        </w:rPr>
        <w:t>proceed</w:t>
      </w:r>
      <w:r w:rsidR="00DD7360">
        <w:rPr>
          <w:rFonts w:asciiTheme="majorBidi" w:hAnsiTheme="majorBidi"/>
          <w:color w:val="000000"/>
          <w:sz w:val="24"/>
        </w:rPr>
        <w:t>ed</w:t>
      </w:r>
      <w:r w:rsidRPr="004C731D">
        <w:rPr>
          <w:rFonts w:asciiTheme="majorBidi" w:hAnsiTheme="majorBidi"/>
          <w:color w:val="000000"/>
          <w:sz w:val="24"/>
        </w:rPr>
        <w:t xml:space="preserve"> to model the impact of this crisis</w:t>
      </w:r>
      <w:r w:rsidR="00973375">
        <w:rPr>
          <w:rFonts w:asciiTheme="majorBidi" w:hAnsiTheme="majorBidi"/>
          <w:color w:val="000000"/>
          <w:sz w:val="24"/>
        </w:rPr>
        <w:t>,</w:t>
      </w:r>
      <w:r w:rsidRPr="004C731D">
        <w:rPr>
          <w:rFonts w:asciiTheme="majorBidi" w:hAnsiTheme="majorBidi"/>
          <w:color w:val="000000"/>
          <w:sz w:val="24"/>
        </w:rPr>
        <w:t xml:space="preserve"> including a </w:t>
      </w:r>
      <w:r w:rsidR="00317BF0">
        <w:rPr>
          <w:rFonts w:asciiTheme="majorBidi" w:hAnsiTheme="majorBidi" w:cstheme="majorBidi"/>
          <w:color w:val="000000"/>
          <w:sz w:val="24"/>
          <w:szCs w:val="24"/>
        </w:rPr>
        <w:t>"</w:t>
      </w:r>
      <w:r w:rsidRPr="004C731D">
        <w:rPr>
          <w:rFonts w:asciiTheme="majorBidi" w:hAnsiTheme="majorBidi"/>
          <w:color w:val="000000"/>
          <w:sz w:val="24"/>
        </w:rPr>
        <w:t>negative shock</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on productivity from impulse response functions. These functions </w:t>
      </w:r>
      <w:r w:rsidR="00973375">
        <w:rPr>
          <w:rFonts w:asciiTheme="majorBidi" w:hAnsiTheme="majorBidi"/>
          <w:color w:val="000000"/>
          <w:sz w:val="24"/>
        </w:rPr>
        <w:t>gave</w:t>
      </w:r>
      <w:r w:rsidRPr="004C731D">
        <w:rPr>
          <w:rFonts w:asciiTheme="majorBidi" w:hAnsiTheme="majorBidi"/>
          <w:color w:val="000000"/>
          <w:sz w:val="24"/>
        </w:rPr>
        <w:t xml:space="preserve"> us the partial loss of employment derived from the first exogenous C</w:t>
      </w:r>
      <w:r w:rsidR="003F2375" w:rsidRPr="0016142F">
        <w:rPr>
          <w:rFonts w:asciiTheme="majorBidi" w:hAnsiTheme="majorBidi"/>
          <w:color w:val="000000"/>
          <w:sz w:val="24"/>
        </w:rPr>
        <w:t>OVID</w:t>
      </w:r>
      <w:r w:rsidRPr="0016142F">
        <w:rPr>
          <w:rFonts w:asciiTheme="majorBidi" w:hAnsiTheme="majorBidi"/>
          <w:color w:val="000000"/>
          <w:sz w:val="24"/>
        </w:rPr>
        <w:t xml:space="preserve">-19 shock, but to obtain the cumulative loss, we </w:t>
      </w:r>
      <w:r w:rsidRPr="00294B9C">
        <w:rPr>
          <w:rFonts w:asciiTheme="majorBidi" w:hAnsiTheme="majorBidi"/>
          <w:color w:val="000000"/>
          <w:sz w:val="24"/>
        </w:rPr>
        <w:t>proceed</w:t>
      </w:r>
      <w:r w:rsidR="00973375">
        <w:rPr>
          <w:rFonts w:asciiTheme="majorBidi" w:hAnsiTheme="majorBidi"/>
          <w:color w:val="000000"/>
          <w:sz w:val="24"/>
        </w:rPr>
        <w:t>ed</w:t>
      </w:r>
      <w:r w:rsidRPr="004C731D">
        <w:rPr>
          <w:rFonts w:asciiTheme="majorBidi" w:hAnsiTheme="majorBidi"/>
          <w:color w:val="000000"/>
          <w:sz w:val="24"/>
        </w:rPr>
        <w:t xml:space="preserve"> to project the long-term employment trends. The impulse response functions and employment trend estimates </w:t>
      </w:r>
      <w:r w:rsidRPr="00294B9C">
        <w:rPr>
          <w:rFonts w:asciiTheme="majorBidi" w:hAnsiTheme="majorBidi"/>
          <w:color w:val="000000"/>
          <w:sz w:val="24"/>
        </w:rPr>
        <w:t>allow</w:t>
      </w:r>
      <w:r w:rsidR="00973375">
        <w:rPr>
          <w:rFonts w:asciiTheme="majorBidi" w:hAnsiTheme="majorBidi"/>
          <w:color w:val="000000"/>
          <w:sz w:val="24"/>
        </w:rPr>
        <w:t>ed</w:t>
      </w:r>
      <w:r w:rsidRPr="004C731D">
        <w:rPr>
          <w:rFonts w:asciiTheme="majorBidi" w:hAnsiTheme="majorBidi"/>
          <w:color w:val="000000"/>
          <w:sz w:val="24"/>
        </w:rPr>
        <w:t xml:space="preserve"> us to differentiate what would have been without the pandemic</w:t>
      </w:r>
      <w:r w:rsidR="006964C5">
        <w:rPr>
          <w:rFonts w:asciiTheme="majorBidi" w:hAnsiTheme="majorBidi" w:cstheme="majorBidi"/>
          <w:color w:val="000000"/>
          <w:sz w:val="24"/>
          <w:szCs w:val="24"/>
        </w:rPr>
        <w:t>,</w:t>
      </w:r>
      <w:r w:rsidRPr="004C731D">
        <w:rPr>
          <w:rFonts w:asciiTheme="majorBidi" w:hAnsiTheme="majorBidi"/>
          <w:color w:val="000000"/>
          <w:sz w:val="24"/>
        </w:rPr>
        <w:t xml:space="preserve"> and</w:t>
      </w:r>
      <w:r w:rsidR="006964C5">
        <w:rPr>
          <w:rFonts w:asciiTheme="majorBidi" w:hAnsiTheme="majorBidi" w:cstheme="majorBidi"/>
          <w:color w:val="000000"/>
          <w:sz w:val="24"/>
          <w:szCs w:val="24"/>
        </w:rPr>
        <w:t>,</w:t>
      </w:r>
      <w:r w:rsidR="006964C5" w:rsidRPr="004C731D">
        <w:rPr>
          <w:rFonts w:asciiTheme="majorBidi" w:hAnsiTheme="majorBidi"/>
          <w:color w:val="000000"/>
          <w:sz w:val="24"/>
        </w:rPr>
        <w:t xml:space="preserve"> </w:t>
      </w:r>
      <w:r w:rsidRPr="004C731D">
        <w:rPr>
          <w:rFonts w:asciiTheme="majorBidi" w:hAnsiTheme="majorBidi"/>
          <w:color w:val="000000"/>
          <w:sz w:val="24"/>
        </w:rPr>
        <w:t>with the observed employment</w:t>
      </w:r>
      <w:r w:rsidR="006964C5">
        <w:rPr>
          <w:rFonts w:asciiTheme="majorBidi" w:hAnsiTheme="majorBidi" w:cstheme="majorBidi"/>
          <w:color w:val="000000"/>
          <w:sz w:val="24"/>
          <w:szCs w:val="24"/>
        </w:rPr>
        <w:t>,</w:t>
      </w:r>
      <w:r w:rsidRPr="004C731D">
        <w:rPr>
          <w:rFonts w:asciiTheme="majorBidi" w:hAnsiTheme="majorBidi"/>
          <w:color w:val="000000"/>
          <w:sz w:val="24"/>
        </w:rPr>
        <w:t xml:space="preserve"> we </w:t>
      </w:r>
      <w:r w:rsidR="00973375">
        <w:rPr>
          <w:rFonts w:asciiTheme="majorBidi" w:hAnsiTheme="majorBidi"/>
          <w:color w:val="000000"/>
          <w:sz w:val="24"/>
        </w:rPr>
        <w:t>were</w:t>
      </w:r>
      <w:r w:rsidRPr="004C731D">
        <w:rPr>
          <w:rFonts w:asciiTheme="majorBidi" w:hAnsiTheme="majorBidi"/>
          <w:color w:val="000000"/>
          <w:sz w:val="24"/>
        </w:rPr>
        <w:t xml:space="preserve"> able to capture the magnitude of the structural effects on employment. </w:t>
      </w:r>
      <w:r w:rsidR="006964C5">
        <w:rPr>
          <w:rFonts w:asciiTheme="majorBidi" w:hAnsiTheme="majorBidi" w:cstheme="majorBidi"/>
          <w:color w:val="000000"/>
          <w:sz w:val="24"/>
          <w:szCs w:val="24"/>
        </w:rPr>
        <w:t>F</w:t>
      </w:r>
      <w:r w:rsidRPr="004932B4">
        <w:rPr>
          <w:rFonts w:asciiTheme="majorBidi" w:hAnsiTheme="majorBidi" w:cstheme="majorBidi"/>
          <w:color w:val="000000"/>
          <w:sz w:val="24"/>
          <w:szCs w:val="24"/>
        </w:rPr>
        <w:t>inally</w:t>
      </w:r>
      <w:r w:rsidR="001C189A" w:rsidRPr="004C731D">
        <w:rPr>
          <w:rFonts w:asciiTheme="majorBidi" w:hAnsiTheme="majorBidi"/>
          <w:color w:val="000000"/>
          <w:sz w:val="24"/>
        </w:rPr>
        <w:t>,</w:t>
      </w:r>
      <w:r w:rsidRPr="004C731D">
        <w:rPr>
          <w:rFonts w:asciiTheme="majorBidi" w:hAnsiTheme="majorBidi"/>
          <w:color w:val="000000"/>
          <w:sz w:val="24"/>
        </w:rPr>
        <w:t xml:space="preserve"> we </w:t>
      </w:r>
      <w:r w:rsidRPr="00A46182">
        <w:rPr>
          <w:rFonts w:asciiTheme="majorBidi" w:hAnsiTheme="majorBidi"/>
          <w:color w:val="000000"/>
          <w:sz w:val="24"/>
        </w:rPr>
        <w:t>present</w:t>
      </w:r>
      <w:r w:rsidR="00973375">
        <w:rPr>
          <w:rFonts w:asciiTheme="majorBidi" w:hAnsiTheme="majorBidi"/>
          <w:color w:val="000000"/>
          <w:sz w:val="24"/>
        </w:rPr>
        <w:t>ed</w:t>
      </w:r>
      <w:r w:rsidRPr="004C731D">
        <w:rPr>
          <w:rFonts w:asciiTheme="majorBidi" w:hAnsiTheme="majorBidi"/>
          <w:color w:val="000000"/>
          <w:sz w:val="24"/>
        </w:rPr>
        <w:t xml:space="preserve"> recovery scenarios for each of the employment structures.</w:t>
      </w:r>
    </w:p>
    <w:p w14:paraId="655705FB" w14:textId="77777777" w:rsidR="00A8001F" w:rsidRPr="00666047" w:rsidRDefault="00A8001F" w:rsidP="00DC6EDA">
      <w:pPr>
        <w:spacing w:after="0" w:line="240" w:lineRule="auto"/>
        <w:jc w:val="both"/>
        <w:rPr>
          <w:rFonts w:asciiTheme="majorBidi" w:hAnsiTheme="majorBidi"/>
          <w:color w:val="000000"/>
          <w:sz w:val="24"/>
        </w:rPr>
      </w:pPr>
    </w:p>
    <w:p w14:paraId="10A9428A" w14:textId="35D45A2A" w:rsidR="004932B4" w:rsidRPr="0016142F" w:rsidRDefault="004932B4" w:rsidP="00973375">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First, </w:t>
      </w:r>
      <w:r w:rsidR="00973375">
        <w:rPr>
          <w:rFonts w:asciiTheme="majorBidi" w:hAnsiTheme="majorBidi"/>
          <w:color w:val="000000"/>
          <w:sz w:val="24"/>
        </w:rPr>
        <w:t xml:space="preserve">we performed </w:t>
      </w:r>
      <w:r w:rsidRPr="004C731D">
        <w:rPr>
          <w:rFonts w:asciiTheme="majorBidi" w:hAnsiTheme="majorBidi"/>
          <w:color w:val="000000"/>
          <w:sz w:val="24"/>
        </w:rPr>
        <w:t xml:space="preserve">unit root tests to confirm the statistical validity and stability of the VAR model. We then </w:t>
      </w:r>
      <w:r w:rsidRPr="00294B9C">
        <w:rPr>
          <w:rFonts w:asciiTheme="majorBidi" w:hAnsiTheme="majorBidi"/>
          <w:color w:val="000000"/>
          <w:sz w:val="24"/>
        </w:rPr>
        <w:t>proceed</w:t>
      </w:r>
      <w:r w:rsidR="00973375">
        <w:rPr>
          <w:rFonts w:asciiTheme="majorBidi" w:hAnsiTheme="majorBidi"/>
          <w:color w:val="000000"/>
          <w:sz w:val="24"/>
        </w:rPr>
        <w:t>ed</w:t>
      </w:r>
      <w:r w:rsidRPr="004C731D">
        <w:rPr>
          <w:rFonts w:asciiTheme="majorBidi" w:hAnsiTheme="majorBidi"/>
          <w:color w:val="000000"/>
          <w:sz w:val="24"/>
        </w:rPr>
        <w:t xml:space="preserve"> to present the VAR model, concentrating on exposing the differentiated effects on employment according to the structure and gender division, which </w:t>
      </w:r>
      <w:r w:rsidRPr="00294B9C">
        <w:rPr>
          <w:rFonts w:asciiTheme="majorBidi" w:hAnsiTheme="majorBidi"/>
          <w:color w:val="000000"/>
          <w:sz w:val="24"/>
        </w:rPr>
        <w:t>help</w:t>
      </w:r>
      <w:r w:rsidR="00973375">
        <w:rPr>
          <w:rFonts w:asciiTheme="majorBidi" w:hAnsiTheme="majorBidi"/>
          <w:color w:val="000000"/>
          <w:sz w:val="24"/>
        </w:rPr>
        <w:t>ed</w:t>
      </w:r>
      <w:r w:rsidRPr="004C731D">
        <w:rPr>
          <w:rFonts w:asciiTheme="majorBidi" w:hAnsiTheme="majorBidi"/>
          <w:color w:val="000000"/>
          <w:sz w:val="24"/>
        </w:rPr>
        <w:t xml:space="preserve"> us understand the dynamics. Finally, the analysis of employment derived from the first C</w:t>
      </w:r>
      <w:r w:rsidR="003F2375" w:rsidRPr="0016142F">
        <w:rPr>
          <w:rFonts w:asciiTheme="majorBidi" w:hAnsiTheme="majorBidi"/>
          <w:color w:val="000000"/>
          <w:sz w:val="24"/>
        </w:rPr>
        <w:t>OVID</w:t>
      </w:r>
      <w:r w:rsidRPr="0016142F">
        <w:rPr>
          <w:rFonts w:asciiTheme="majorBidi" w:hAnsiTheme="majorBidi"/>
          <w:color w:val="000000"/>
          <w:sz w:val="24"/>
        </w:rPr>
        <w:t>-19 shock</w:t>
      </w:r>
      <w:r w:rsidR="006964C5">
        <w:rPr>
          <w:rFonts w:asciiTheme="majorBidi" w:hAnsiTheme="majorBidi" w:cstheme="majorBidi"/>
          <w:color w:val="000000"/>
          <w:sz w:val="24"/>
          <w:szCs w:val="24"/>
        </w:rPr>
        <w:t>,</w:t>
      </w:r>
      <w:r w:rsidR="006964C5" w:rsidRPr="004C731D">
        <w:rPr>
          <w:rFonts w:asciiTheme="majorBidi" w:hAnsiTheme="majorBidi"/>
          <w:color w:val="000000"/>
          <w:sz w:val="24"/>
        </w:rPr>
        <w:t xml:space="preserve"> </w:t>
      </w:r>
      <w:r w:rsidRPr="0016142F">
        <w:rPr>
          <w:rFonts w:asciiTheme="majorBidi" w:hAnsiTheme="majorBidi"/>
          <w:color w:val="000000"/>
          <w:sz w:val="24"/>
        </w:rPr>
        <w:t xml:space="preserve">and </w:t>
      </w:r>
      <w:r w:rsidR="006964C5">
        <w:rPr>
          <w:rFonts w:asciiTheme="majorBidi" w:hAnsiTheme="majorBidi" w:cstheme="majorBidi"/>
          <w:color w:val="000000"/>
          <w:sz w:val="24"/>
          <w:szCs w:val="24"/>
        </w:rPr>
        <w:t>we present</w:t>
      </w:r>
      <w:r w:rsidR="00973375">
        <w:rPr>
          <w:rFonts w:asciiTheme="majorBidi" w:hAnsiTheme="majorBidi" w:cstheme="majorBidi"/>
          <w:color w:val="000000"/>
          <w:sz w:val="24"/>
          <w:szCs w:val="24"/>
        </w:rPr>
        <w:t>ed</w:t>
      </w:r>
      <w:r w:rsidR="006964C5">
        <w:rPr>
          <w:rFonts w:asciiTheme="majorBidi" w:hAnsiTheme="majorBidi" w:cstheme="majorBidi"/>
          <w:color w:val="000000"/>
          <w:sz w:val="24"/>
          <w:szCs w:val="24"/>
        </w:rPr>
        <w:t xml:space="preserve"> </w:t>
      </w:r>
      <w:r w:rsidRPr="004C731D">
        <w:rPr>
          <w:rFonts w:asciiTheme="majorBidi" w:hAnsiTheme="majorBidi"/>
          <w:color w:val="000000"/>
          <w:sz w:val="24"/>
        </w:rPr>
        <w:t>its structural effects.</w:t>
      </w:r>
    </w:p>
    <w:p w14:paraId="60BC56CE" w14:textId="41AC3610" w:rsidR="004932B4" w:rsidRPr="00BE052D"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lastRenderedPageBreak/>
        <w:t xml:space="preserve">4.1 Unit root test </w:t>
      </w:r>
    </w:p>
    <w:p w14:paraId="06A2EA78" w14:textId="77777777" w:rsidR="00A8001F" w:rsidRPr="00BE052D" w:rsidRDefault="00A8001F" w:rsidP="00DC6EDA">
      <w:pPr>
        <w:spacing w:after="0" w:line="240" w:lineRule="auto"/>
        <w:jc w:val="both"/>
        <w:rPr>
          <w:rFonts w:asciiTheme="majorBidi" w:hAnsiTheme="majorBidi"/>
          <w:b/>
          <w:color w:val="000000"/>
          <w:sz w:val="24"/>
        </w:rPr>
      </w:pPr>
    </w:p>
    <w:p w14:paraId="244CEC36" w14:textId="2C05C60F" w:rsidR="004932B4" w:rsidRDefault="004932B4" w:rsidP="00341148">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variables used in the estimation are presented as growth rates, so </w:t>
      </w:r>
      <w:r w:rsidR="00341148">
        <w:rPr>
          <w:rFonts w:asciiTheme="majorBidi" w:hAnsiTheme="majorBidi"/>
          <w:color w:val="000000"/>
          <w:sz w:val="24"/>
        </w:rPr>
        <w:t xml:space="preserve">we performed </w:t>
      </w:r>
      <w:r w:rsidRPr="004C731D">
        <w:rPr>
          <w:rFonts w:asciiTheme="majorBidi" w:hAnsiTheme="majorBidi"/>
          <w:color w:val="000000"/>
          <w:sz w:val="24"/>
        </w:rPr>
        <w:t xml:space="preserve">Augmented Dickey-Fuller (ADF) and Phillips-Perron unit root tests </w:t>
      </w:r>
      <w:r w:rsidRPr="0016142F">
        <w:rPr>
          <w:rFonts w:asciiTheme="majorBidi" w:hAnsiTheme="majorBidi"/>
          <w:color w:val="000000"/>
          <w:sz w:val="24"/>
        </w:rPr>
        <w:t>to test their long-term stability.</w:t>
      </w:r>
    </w:p>
    <w:p w14:paraId="748C03B0" w14:textId="77777777" w:rsidR="005D485C" w:rsidRPr="00666047" w:rsidRDefault="005D485C" w:rsidP="00341148">
      <w:pPr>
        <w:spacing w:after="0" w:line="240" w:lineRule="auto"/>
        <w:jc w:val="both"/>
        <w:rPr>
          <w:rFonts w:asciiTheme="majorBidi" w:hAnsiTheme="majorBidi"/>
          <w:color w:val="000000"/>
          <w:sz w:val="24"/>
        </w:rPr>
      </w:pPr>
    </w:p>
    <w:p w14:paraId="2602DF7B" w14:textId="10226912" w:rsidR="004932B4" w:rsidRDefault="004932B4" w:rsidP="002132E6">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Table </w:t>
      </w:r>
      <w:r w:rsidR="0060243D" w:rsidRPr="00666047">
        <w:rPr>
          <w:rFonts w:asciiTheme="majorBidi" w:hAnsiTheme="majorBidi"/>
          <w:color w:val="000000"/>
          <w:sz w:val="24"/>
        </w:rPr>
        <w:t>2</w:t>
      </w:r>
      <w:r w:rsidRPr="00666047">
        <w:rPr>
          <w:rFonts w:asciiTheme="majorBidi" w:hAnsiTheme="majorBidi"/>
          <w:color w:val="000000"/>
          <w:sz w:val="24"/>
        </w:rPr>
        <w:t xml:space="preserve"> presents the stationarity tests for the growth rates of GDP, employment</w:t>
      </w:r>
      <w:r w:rsidR="001C189A" w:rsidRPr="00666047">
        <w:rPr>
          <w:rFonts w:asciiTheme="majorBidi" w:hAnsiTheme="majorBidi"/>
          <w:color w:val="000000"/>
          <w:sz w:val="24"/>
        </w:rPr>
        <w:t>,</w:t>
      </w:r>
      <w:r w:rsidRPr="00666047">
        <w:rPr>
          <w:rFonts w:asciiTheme="majorBidi" w:hAnsiTheme="majorBidi"/>
          <w:color w:val="000000"/>
          <w:sz w:val="24"/>
        </w:rPr>
        <w:t xml:space="preserve"> and wages. It can be observed that</w:t>
      </w:r>
      <w:r w:rsidR="005A00F4">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sidR="005A00F4" w:rsidRPr="004932B4">
        <w:rPr>
          <w:rFonts w:asciiTheme="majorBidi" w:hAnsiTheme="majorBidi" w:cstheme="majorBidi"/>
          <w:color w:val="000000"/>
          <w:sz w:val="24"/>
          <w:szCs w:val="24"/>
        </w:rPr>
        <w:t>in both tests</w:t>
      </w:r>
      <w:r w:rsidR="005A00F4">
        <w:rPr>
          <w:rFonts w:asciiTheme="majorBidi" w:hAnsiTheme="majorBidi" w:cstheme="majorBidi"/>
          <w:color w:val="000000"/>
          <w:sz w:val="24"/>
          <w:szCs w:val="24"/>
        </w:rPr>
        <w:t>,</w:t>
      </w:r>
      <w:r w:rsidR="005A00F4" w:rsidRPr="004932B4">
        <w:rPr>
          <w:rFonts w:asciiTheme="majorBidi" w:hAnsiTheme="majorBidi" w:cstheme="majorBidi"/>
          <w:color w:val="000000"/>
          <w:sz w:val="24"/>
          <w:szCs w:val="24"/>
        </w:rPr>
        <w:t xml:space="preserve"> </w:t>
      </w:r>
      <w:r w:rsidRPr="004C731D">
        <w:rPr>
          <w:rFonts w:asciiTheme="majorBidi" w:hAnsiTheme="majorBidi"/>
          <w:color w:val="000000"/>
          <w:sz w:val="24"/>
        </w:rPr>
        <w:t>all series are stationary</w:t>
      </w:r>
      <w:r w:rsidR="005A00F4" w:rsidRPr="0016142F">
        <w:rPr>
          <w:rFonts w:asciiTheme="majorBidi" w:hAnsiTheme="majorBidi"/>
          <w:color w:val="000000"/>
          <w:sz w:val="24"/>
        </w:rPr>
        <w:t xml:space="preserve">, </w:t>
      </w:r>
      <w:r w:rsidRPr="004C731D">
        <w:rPr>
          <w:rFonts w:asciiTheme="majorBidi" w:hAnsiTheme="majorBidi"/>
          <w:color w:val="000000"/>
          <w:sz w:val="24"/>
        </w:rPr>
        <w:t>and</w:t>
      </w:r>
      <w:r w:rsidR="005A00F4">
        <w:rPr>
          <w:rFonts w:asciiTheme="majorBidi" w:hAnsiTheme="majorBidi" w:cstheme="majorBidi"/>
          <w:color w:val="000000"/>
          <w:sz w:val="24"/>
          <w:szCs w:val="24"/>
        </w:rPr>
        <w:t>,</w:t>
      </w:r>
      <w:r w:rsidRPr="004C731D">
        <w:rPr>
          <w:rFonts w:asciiTheme="majorBidi" w:hAnsiTheme="majorBidi"/>
          <w:color w:val="000000"/>
          <w:sz w:val="24"/>
        </w:rPr>
        <w:t xml:space="preserve"> at the time</w:t>
      </w:r>
      <w:r w:rsidR="005A00F4">
        <w:rPr>
          <w:rFonts w:asciiTheme="majorBidi" w:hAnsiTheme="majorBidi" w:cstheme="majorBidi"/>
          <w:color w:val="000000"/>
          <w:sz w:val="24"/>
          <w:szCs w:val="24"/>
        </w:rPr>
        <w:t>,</w:t>
      </w:r>
      <w:r w:rsidRPr="004C731D">
        <w:rPr>
          <w:rFonts w:asciiTheme="majorBidi" w:hAnsiTheme="majorBidi"/>
          <w:color w:val="000000"/>
          <w:sz w:val="24"/>
        </w:rPr>
        <w:t xml:space="preserve"> the variables are growth rates</w:t>
      </w:r>
      <w:r w:rsidR="005A00F4">
        <w:rPr>
          <w:rFonts w:asciiTheme="majorBidi" w:hAnsiTheme="majorBidi" w:cstheme="majorBidi"/>
          <w:color w:val="000000"/>
          <w:sz w:val="24"/>
          <w:szCs w:val="24"/>
        </w:rPr>
        <w:t xml:space="preserve"> and</w:t>
      </w:r>
      <w:r w:rsidR="005A00F4" w:rsidRPr="004C731D">
        <w:rPr>
          <w:rFonts w:asciiTheme="majorBidi" w:hAnsiTheme="majorBidi"/>
          <w:color w:val="000000"/>
          <w:sz w:val="24"/>
        </w:rPr>
        <w:t xml:space="preserve"> </w:t>
      </w:r>
      <w:r w:rsidRPr="0016142F">
        <w:rPr>
          <w:rFonts w:asciiTheme="majorBidi" w:hAnsiTheme="majorBidi"/>
          <w:color w:val="000000"/>
          <w:sz w:val="24"/>
        </w:rPr>
        <w:t xml:space="preserve">were differenced once, so these series </w:t>
      </w:r>
      <w:r w:rsidR="002132E6">
        <w:rPr>
          <w:rFonts w:asciiTheme="majorBidi" w:hAnsiTheme="majorBidi"/>
          <w:color w:val="000000"/>
          <w:sz w:val="24"/>
        </w:rPr>
        <w:t>consist of order</w:t>
      </w:r>
      <w:r w:rsidR="00317BF0">
        <w:rPr>
          <w:rFonts w:asciiTheme="majorBidi" w:hAnsiTheme="majorBidi"/>
          <w:color w:val="000000"/>
          <w:sz w:val="24"/>
        </w:rPr>
        <w:t>-</w:t>
      </w:r>
      <w:r w:rsidR="002132E6">
        <w:rPr>
          <w:rFonts w:asciiTheme="majorBidi" w:hAnsiTheme="majorBidi"/>
          <w:color w:val="000000"/>
          <w:sz w:val="24"/>
        </w:rPr>
        <w:t xml:space="preserve">one </w:t>
      </w:r>
      <w:r w:rsidR="002132E6" w:rsidRPr="0016142F">
        <w:rPr>
          <w:rFonts w:asciiTheme="majorBidi" w:hAnsiTheme="majorBidi"/>
          <w:color w:val="000000"/>
          <w:sz w:val="24"/>
        </w:rPr>
        <w:t>I(1)</w:t>
      </w:r>
      <w:r w:rsidR="002132E6">
        <w:rPr>
          <w:rFonts w:asciiTheme="majorBidi" w:hAnsiTheme="majorBidi"/>
          <w:color w:val="000000"/>
          <w:sz w:val="24"/>
        </w:rPr>
        <w:t xml:space="preserve"> data</w:t>
      </w:r>
      <w:r w:rsidR="002132E6" w:rsidRPr="0016142F">
        <w:rPr>
          <w:rFonts w:asciiTheme="majorBidi" w:hAnsiTheme="majorBidi"/>
          <w:color w:val="000000"/>
          <w:sz w:val="24"/>
        </w:rPr>
        <w:t>.</w:t>
      </w:r>
      <w:r w:rsidR="002132E6" w:rsidRPr="004C731D">
        <w:rPr>
          <w:rFonts w:asciiTheme="majorBidi" w:hAnsiTheme="majorBidi"/>
          <w:color w:val="000000"/>
          <w:sz w:val="24"/>
        </w:rPr>
        <w:t xml:space="preserve"> </w:t>
      </w:r>
    </w:p>
    <w:p w14:paraId="310C6C85" w14:textId="77777777" w:rsidR="00280C70" w:rsidRPr="004C731D" w:rsidRDefault="00280C70" w:rsidP="002132E6">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80C70" w14:paraId="23CA4FDB" w14:textId="77777777" w:rsidTr="00280C70">
        <w:tc>
          <w:tcPr>
            <w:tcW w:w="8828" w:type="dxa"/>
          </w:tcPr>
          <w:p w14:paraId="58C54A90" w14:textId="64B8F9A1" w:rsidR="00280C70" w:rsidRPr="00DB7DBB" w:rsidRDefault="00280C70" w:rsidP="00DC6EDA">
            <w:pPr>
              <w:jc w:val="both"/>
              <w:rPr>
                <w:rFonts w:asciiTheme="majorBidi" w:hAnsiTheme="majorBidi"/>
                <w:b/>
                <w:bCs/>
                <w:color w:val="000000"/>
                <w:sz w:val="20"/>
                <w:szCs w:val="18"/>
              </w:rPr>
            </w:pPr>
            <w:r w:rsidRPr="00DB7DBB">
              <w:rPr>
                <w:rFonts w:asciiTheme="majorBidi" w:hAnsiTheme="majorBidi"/>
                <w:b/>
                <w:bCs/>
                <w:color w:val="000000"/>
                <w:sz w:val="20"/>
                <w:szCs w:val="18"/>
              </w:rPr>
              <w:t>Table 2. Z-statistics for hypothesis testing unit roots</w:t>
            </w:r>
          </w:p>
        </w:tc>
      </w:tr>
      <w:tr w:rsidR="00280C70" w14:paraId="23D99EEF" w14:textId="77777777" w:rsidTr="00280C70">
        <w:tc>
          <w:tcPr>
            <w:tcW w:w="8828" w:type="dxa"/>
          </w:tcPr>
          <w:tbl>
            <w:tblPr>
              <w:tblW w:w="4912" w:type="dxa"/>
              <w:jc w:val="center"/>
              <w:tblCellMar>
                <w:left w:w="70" w:type="dxa"/>
                <w:right w:w="70" w:type="dxa"/>
              </w:tblCellMar>
              <w:tblLook w:val="04A0" w:firstRow="1" w:lastRow="0" w:firstColumn="1" w:lastColumn="0" w:noHBand="0" w:noVBand="1"/>
            </w:tblPr>
            <w:tblGrid>
              <w:gridCol w:w="2032"/>
              <w:gridCol w:w="828"/>
              <w:gridCol w:w="567"/>
              <w:gridCol w:w="850"/>
              <w:gridCol w:w="635"/>
            </w:tblGrid>
            <w:tr w:rsidR="00280C70" w:rsidRPr="000D0F3E" w14:paraId="43051F31" w14:textId="77777777" w:rsidTr="00613E23">
              <w:trPr>
                <w:trHeight w:val="530"/>
                <w:jc w:val="center"/>
              </w:trPr>
              <w:tc>
                <w:tcPr>
                  <w:tcW w:w="2032" w:type="dxa"/>
                  <w:tcBorders>
                    <w:top w:val="double" w:sz="4" w:space="0" w:color="auto"/>
                    <w:left w:val="nil"/>
                    <w:bottom w:val="double" w:sz="4" w:space="0" w:color="auto"/>
                    <w:right w:val="nil"/>
                  </w:tcBorders>
                  <w:shd w:val="clear" w:color="auto" w:fill="auto"/>
                  <w:noWrap/>
                  <w:vAlign w:val="center"/>
                  <w:hideMark/>
                </w:tcPr>
                <w:p w14:paraId="445B49E9"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Growth rates</w:t>
                  </w:r>
                </w:p>
              </w:tc>
              <w:tc>
                <w:tcPr>
                  <w:tcW w:w="1395" w:type="dxa"/>
                  <w:gridSpan w:val="2"/>
                  <w:tcBorders>
                    <w:top w:val="double" w:sz="4" w:space="0" w:color="auto"/>
                    <w:left w:val="nil"/>
                    <w:bottom w:val="double" w:sz="4" w:space="0" w:color="auto"/>
                    <w:right w:val="nil"/>
                  </w:tcBorders>
                  <w:shd w:val="clear" w:color="auto" w:fill="auto"/>
                  <w:vAlign w:val="center"/>
                  <w:hideMark/>
                </w:tcPr>
                <w:p w14:paraId="7D2F4163" w14:textId="132590FA"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sidRPr="004A63DC">
                    <w:rPr>
                      <w:rFonts w:ascii="Times New Roman" w:eastAsia="Times New Roman" w:hAnsi="Times New Roman" w:cs="Times New Roman"/>
                      <w:b/>
                      <w:bCs/>
                      <w:color w:val="000000"/>
                      <w:sz w:val="20"/>
                      <w:szCs w:val="20"/>
                      <w:lang w:eastAsia="es-MX"/>
                    </w:rPr>
                    <w:t>Dickey-Fuller Au</w:t>
                  </w:r>
                  <w:r w:rsidR="00317BF0">
                    <w:rPr>
                      <w:rFonts w:ascii="Times New Roman" w:eastAsia="Times New Roman" w:hAnsi="Times New Roman" w:cs="Times New Roman"/>
                      <w:b/>
                      <w:bCs/>
                      <w:color w:val="000000"/>
                      <w:sz w:val="20"/>
                      <w:szCs w:val="20"/>
                      <w:lang w:eastAsia="es-MX"/>
                    </w:rPr>
                    <w:t>g</w:t>
                  </w:r>
                  <w:r w:rsidRPr="004A63DC">
                    <w:rPr>
                      <w:rFonts w:ascii="Times New Roman" w:eastAsia="Times New Roman" w:hAnsi="Times New Roman" w:cs="Times New Roman"/>
                      <w:b/>
                      <w:bCs/>
                      <w:color w:val="000000"/>
                      <w:sz w:val="20"/>
                      <w:szCs w:val="20"/>
                      <w:lang w:eastAsia="es-MX"/>
                    </w:rPr>
                    <w:t>m</w:t>
                  </w:r>
                  <w:r>
                    <w:rPr>
                      <w:rFonts w:ascii="Times New Roman" w:eastAsia="Times New Roman" w:hAnsi="Times New Roman" w:cs="Times New Roman"/>
                      <w:b/>
                      <w:bCs/>
                      <w:color w:val="000000"/>
                      <w:sz w:val="20"/>
                      <w:szCs w:val="20"/>
                      <w:lang w:eastAsia="es-MX"/>
                    </w:rPr>
                    <w:t>ented</w:t>
                  </w:r>
                </w:p>
              </w:tc>
              <w:tc>
                <w:tcPr>
                  <w:tcW w:w="1485" w:type="dxa"/>
                  <w:gridSpan w:val="2"/>
                  <w:tcBorders>
                    <w:top w:val="double" w:sz="4" w:space="0" w:color="auto"/>
                    <w:left w:val="nil"/>
                    <w:bottom w:val="single" w:sz="4" w:space="0" w:color="auto"/>
                    <w:right w:val="nil"/>
                  </w:tcBorders>
                  <w:shd w:val="clear" w:color="auto" w:fill="auto"/>
                  <w:vAlign w:val="center"/>
                  <w:hideMark/>
                </w:tcPr>
                <w:p w14:paraId="18EC79B0"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sidRPr="004A63DC">
                    <w:rPr>
                      <w:rFonts w:ascii="Times New Roman" w:eastAsia="Times New Roman" w:hAnsi="Times New Roman" w:cs="Times New Roman"/>
                      <w:b/>
                      <w:bCs/>
                      <w:color w:val="000000"/>
                      <w:sz w:val="20"/>
                      <w:szCs w:val="20"/>
                      <w:lang w:eastAsia="es-MX"/>
                    </w:rPr>
                    <w:t>Phillips-Perron</w:t>
                  </w:r>
                </w:p>
              </w:tc>
            </w:tr>
            <w:tr w:rsidR="00280C70" w:rsidRPr="000D0F3E" w14:paraId="4DDD29B4" w14:textId="77777777" w:rsidTr="00613E23">
              <w:trPr>
                <w:trHeight w:val="162"/>
                <w:jc w:val="center"/>
              </w:trPr>
              <w:tc>
                <w:tcPr>
                  <w:tcW w:w="2032" w:type="dxa"/>
                  <w:tcBorders>
                    <w:top w:val="double" w:sz="4" w:space="0" w:color="auto"/>
                    <w:left w:val="nil"/>
                    <w:bottom w:val="nil"/>
                    <w:right w:val="nil"/>
                  </w:tcBorders>
                  <w:shd w:val="clear" w:color="auto" w:fill="auto"/>
                  <w:noWrap/>
                  <w:vAlign w:val="bottom"/>
                  <w:hideMark/>
                </w:tcPr>
                <w:p w14:paraId="368A74DE"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PIB</w:t>
                  </w:r>
                </w:p>
              </w:tc>
              <w:tc>
                <w:tcPr>
                  <w:tcW w:w="828" w:type="dxa"/>
                  <w:tcBorders>
                    <w:top w:val="double" w:sz="4" w:space="0" w:color="auto"/>
                    <w:left w:val="nil"/>
                    <w:bottom w:val="nil"/>
                    <w:right w:val="nil"/>
                  </w:tcBorders>
                  <w:shd w:val="clear" w:color="auto" w:fill="auto"/>
                  <w:noWrap/>
                  <w:vAlign w:val="bottom"/>
                  <w:hideMark/>
                </w:tcPr>
                <w:p w14:paraId="78B228DC"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-8.07</w:t>
                  </w:r>
                </w:p>
              </w:tc>
              <w:tc>
                <w:tcPr>
                  <w:tcW w:w="567" w:type="dxa"/>
                  <w:tcBorders>
                    <w:top w:val="double" w:sz="4" w:space="0" w:color="auto"/>
                    <w:left w:val="nil"/>
                    <w:bottom w:val="nil"/>
                    <w:right w:val="nil"/>
                  </w:tcBorders>
                  <w:shd w:val="clear" w:color="auto" w:fill="auto"/>
                  <w:noWrap/>
                  <w:vAlign w:val="bottom"/>
                  <w:hideMark/>
                </w:tcPr>
                <w:p w14:paraId="65D6734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nil"/>
                    <w:right w:val="nil"/>
                  </w:tcBorders>
                  <w:shd w:val="clear" w:color="auto" w:fill="auto"/>
                  <w:noWrap/>
                  <w:vAlign w:val="bottom"/>
                  <w:hideMark/>
                </w:tcPr>
                <w:p w14:paraId="6F129369"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-77.68</w:t>
                  </w:r>
                </w:p>
              </w:tc>
              <w:tc>
                <w:tcPr>
                  <w:tcW w:w="635" w:type="dxa"/>
                  <w:tcBorders>
                    <w:top w:val="nil"/>
                    <w:left w:val="nil"/>
                    <w:bottom w:val="nil"/>
                    <w:right w:val="nil"/>
                  </w:tcBorders>
                  <w:shd w:val="clear" w:color="auto" w:fill="auto"/>
                  <w:noWrap/>
                  <w:vAlign w:val="bottom"/>
                  <w:hideMark/>
                </w:tcPr>
                <w:p w14:paraId="36AE0AB2"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7FA5CF76" w14:textId="77777777" w:rsidTr="00613E23">
              <w:trPr>
                <w:trHeight w:val="350"/>
                <w:jc w:val="center"/>
              </w:trPr>
              <w:tc>
                <w:tcPr>
                  <w:tcW w:w="2032" w:type="dxa"/>
                  <w:tcBorders>
                    <w:top w:val="nil"/>
                    <w:left w:val="nil"/>
                    <w:bottom w:val="double" w:sz="4" w:space="0" w:color="auto"/>
                    <w:right w:val="nil"/>
                  </w:tcBorders>
                  <w:shd w:val="clear" w:color="auto" w:fill="auto"/>
                  <w:vAlign w:val="bottom"/>
                </w:tcPr>
                <w:p w14:paraId="3895AC77"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Real wage per hour</w:t>
                  </w:r>
                </w:p>
              </w:tc>
              <w:tc>
                <w:tcPr>
                  <w:tcW w:w="828" w:type="dxa"/>
                  <w:tcBorders>
                    <w:top w:val="nil"/>
                    <w:left w:val="nil"/>
                    <w:bottom w:val="double" w:sz="4" w:space="0" w:color="auto"/>
                    <w:right w:val="nil"/>
                  </w:tcBorders>
                  <w:shd w:val="clear" w:color="auto" w:fill="auto"/>
                  <w:noWrap/>
                  <w:vAlign w:val="bottom"/>
                </w:tcPr>
                <w:p w14:paraId="61063568"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-11.644</w:t>
                  </w:r>
                </w:p>
              </w:tc>
              <w:tc>
                <w:tcPr>
                  <w:tcW w:w="567" w:type="dxa"/>
                  <w:tcBorders>
                    <w:top w:val="nil"/>
                    <w:left w:val="nil"/>
                    <w:bottom w:val="double" w:sz="4" w:space="0" w:color="auto"/>
                    <w:right w:val="nil"/>
                  </w:tcBorders>
                  <w:shd w:val="clear" w:color="auto" w:fill="auto"/>
                  <w:noWrap/>
                  <w:vAlign w:val="bottom"/>
                </w:tcPr>
                <w:p w14:paraId="463BD15D"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tcPr>
                <w:p w14:paraId="7FDBBCEA"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-139.52</w:t>
                  </w:r>
                </w:p>
              </w:tc>
              <w:tc>
                <w:tcPr>
                  <w:tcW w:w="635" w:type="dxa"/>
                  <w:tcBorders>
                    <w:top w:val="nil"/>
                    <w:left w:val="nil"/>
                    <w:bottom w:val="double" w:sz="4" w:space="0" w:color="auto"/>
                    <w:right w:val="nil"/>
                  </w:tcBorders>
                  <w:shd w:val="clear" w:color="auto" w:fill="auto"/>
                  <w:noWrap/>
                  <w:vAlign w:val="bottom"/>
                </w:tcPr>
                <w:p w14:paraId="2BEB5EE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18D6351E" w14:textId="77777777" w:rsidTr="00613E23">
              <w:trPr>
                <w:trHeight w:val="280"/>
                <w:jc w:val="center"/>
              </w:trPr>
              <w:tc>
                <w:tcPr>
                  <w:tcW w:w="2032" w:type="dxa"/>
                  <w:tcBorders>
                    <w:top w:val="double" w:sz="4" w:space="0" w:color="auto"/>
                    <w:left w:val="nil"/>
                    <w:bottom w:val="double" w:sz="4" w:space="0" w:color="auto"/>
                    <w:right w:val="nil"/>
                  </w:tcBorders>
                  <w:shd w:val="clear" w:color="auto" w:fill="auto"/>
                  <w:vAlign w:val="center"/>
                </w:tcPr>
                <w:p w14:paraId="1714DD80"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Men</w:t>
                  </w:r>
                </w:p>
              </w:tc>
              <w:tc>
                <w:tcPr>
                  <w:tcW w:w="828" w:type="dxa"/>
                  <w:tcBorders>
                    <w:top w:val="double" w:sz="4" w:space="0" w:color="auto"/>
                    <w:left w:val="nil"/>
                    <w:bottom w:val="double" w:sz="4" w:space="0" w:color="auto"/>
                    <w:right w:val="nil"/>
                  </w:tcBorders>
                  <w:shd w:val="clear" w:color="auto" w:fill="auto"/>
                  <w:noWrap/>
                  <w:vAlign w:val="bottom"/>
                </w:tcPr>
                <w:p w14:paraId="16824641"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double" w:sz="4" w:space="0" w:color="auto"/>
                    <w:left w:val="nil"/>
                    <w:bottom w:val="double" w:sz="4" w:space="0" w:color="auto"/>
                    <w:right w:val="nil"/>
                  </w:tcBorders>
                  <w:shd w:val="clear" w:color="auto" w:fill="auto"/>
                  <w:noWrap/>
                  <w:vAlign w:val="bottom"/>
                </w:tcPr>
                <w:p w14:paraId="1ECDDB6B"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c>
                <w:tcPr>
                  <w:tcW w:w="850" w:type="dxa"/>
                  <w:tcBorders>
                    <w:top w:val="double" w:sz="4" w:space="0" w:color="auto"/>
                    <w:left w:val="nil"/>
                    <w:bottom w:val="double" w:sz="4" w:space="0" w:color="auto"/>
                    <w:right w:val="nil"/>
                  </w:tcBorders>
                  <w:shd w:val="clear" w:color="auto" w:fill="auto"/>
                  <w:noWrap/>
                  <w:vAlign w:val="bottom"/>
                </w:tcPr>
                <w:p w14:paraId="5A676D5D"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635" w:type="dxa"/>
                  <w:tcBorders>
                    <w:top w:val="double" w:sz="4" w:space="0" w:color="auto"/>
                    <w:left w:val="nil"/>
                    <w:bottom w:val="double" w:sz="4" w:space="0" w:color="auto"/>
                    <w:right w:val="nil"/>
                  </w:tcBorders>
                  <w:shd w:val="clear" w:color="auto" w:fill="auto"/>
                  <w:noWrap/>
                  <w:vAlign w:val="bottom"/>
                </w:tcPr>
                <w:p w14:paraId="4CDB6C4A"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r>
            <w:tr w:rsidR="00280C70" w:rsidRPr="000D0F3E" w14:paraId="219117D1" w14:textId="77777777" w:rsidTr="00613E23">
              <w:trPr>
                <w:trHeight w:val="350"/>
                <w:jc w:val="center"/>
              </w:trPr>
              <w:tc>
                <w:tcPr>
                  <w:tcW w:w="2032" w:type="dxa"/>
                  <w:tcBorders>
                    <w:top w:val="double" w:sz="4" w:space="0" w:color="auto"/>
                    <w:left w:val="nil"/>
                    <w:bottom w:val="nil"/>
                    <w:right w:val="nil"/>
                  </w:tcBorders>
                  <w:shd w:val="clear" w:color="auto" w:fill="auto"/>
                  <w:vAlign w:val="bottom"/>
                  <w:hideMark/>
                </w:tcPr>
                <w:p w14:paraId="6CC07864"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double" w:sz="4" w:space="0" w:color="auto"/>
                    <w:left w:val="nil"/>
                    <w:bottom w:val="nil"/>
                    <w:right w:val="nil"/>
                  </w:tcBorders>
                  <w:shd w:val="clear" w:color="auto" w:fill="auto"/>
                  <w:noWrap/>
                  <w:vAlign w:val="bottom"/>
                  <w:hideMark/>
                </w:tcPr>
                <w:p w14:paraId="2ED792E2"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-10.76</w:t>
                  </w:r>
                </w:p>
              </w:tc>
              <w:tc>
                <w:tcPr>
                  <w:tcW w:w="567" w:type="dxa"/>
                  <w:tcBorders>
                    <w:top w:val="double" w:sz="4" w:space="0" w:color="auto"/>
                    <w:left w:val="nil"/>
                    <w:bottom w:val="nil"/>
                    <w:right w:val="nil"/>
                  </w:tcBorders>
                  <w:shd w:val="clear" w:color="auto" w:fill="auto"/>
                  <w:noWrap/>
                  <w:vAlign w:val="bottom"/>
                  <w:hideMark/>
                </w:tcPr>
                <w:p w14:paraId="1F2ABA00"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double" w:sz="4" w:space="0" w:color="auto"/>
                    <w:left w:val="nil"/>
                    <w:bottom w:val="nil"/>
                    <w:right w:val="nil"/>
                  </w:tcBorders>
                  <w:shd w:val="clear" w:color="auto" w:fill="auto"/>
                  <w:noWrap/>
                  <w:vAlign w:val="bottom"/>
                  <w:hideMark/>
                </w:tcPr>
                <w:p w14:paraId="452E59EE"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-120.76</w:t>
                  </w:r>
                </w:p>
              </w:tc>
              <w:tc>
                <w:tcPr>
                  <w:tcW w:w="635" w:type="dxa"/>
                  <w:tcBorders>
                    <w:top w:val="double" w:sz="4" w:space="0" w:color="auto"/>
                    <w:left w:val="nil"/>
                    <w:bottom w:val="nil"/>
                    <w:right w:val="nil"/>
                  </w:tcBorders>
                  <w:shd w:val="clear" w:color="auto" w:fill="auto"/>
                  <w:noWrap/>
                  <w:vAlign w:val="bottom"/>
                  <w:hideMark/>
                </w:tcPr>
                <w:p w14:paraId="1E3CE7B0"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633E74F5" w14:textId="77777777" w:rsidTr="00613E23">
              <w:trPr>
                <w:trHeight w:val="290"/>
                <w:jc w:val="center"/>
              </w:trPr>
              <w:tc>
                <w:tcPr>
                  <w:tcW w:w="2032" w:type="dxa"/>
                  <w:tcBorders>
                    <w:top w:val="nil"/>
                    <w:left w:val="nil"/>
                    <w:bottom w:val="double" w:sz="4" w:space="0" w:color="auto"/>
                    <w:right w:val="nil"/>
                  </w:tcBorders>
                  <w:shd w:val="clear" w:color="auto" w:fill="auto"/>
                  <w:noWrap/>
                  <w:vAlign w:val="bottom"/>
                </w:tcPr>
                <w:p w14:paraId="564B6E56"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double" w:sz="4" w:space="0" w:color="auto"/>
                    <w:right w:val="nil"/>
                  </w:tcBorders>
                  <w:shd w:val="clear" w:color="auto" w:fill="auto"/>
                  <w:noWrap/>
                  <w:vAlign w:val="bottom"/>
                </w:tcPr>
                <w:p w14:paraId="26D4C909"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-13.16</w:t>
                  </w:r>
                </w:p>
              </w:tc>
              <w:tc>
                <w:tcPr>
                  <w:tcW w:w="567" w:type="dxa"/>
                  <w:tcBorders>
                    <w:top w:val="nil"/>
                    <w:left w:val="nil"/>
                    <w:bottom w:val="double" w:sz="4" w:space="0" w:color="auto"/>
                    <w:right w:val="nil"/>
                  </w:tcBorders>
                  <w:shd w:val="clear" w:color="auto" w:fill="auto"/>
                  <w:noWrap/>
                  <w:vAlign w:val="bottom"/>
                </w:tcPr>
                <w:p w14:paraId="4C313868"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tcPr>
                <w:p w14:paraId="174DDB54"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-146.52</w:t>
                  </w:r>
                </w:p>
              </w:tc>
              <w:tc>
                <w:tcPr>
                  <w:tcW w:w="635" w:type="dxa"/>
                  <w:tcBorders>
                    <w:top w:val="nil"/>
                    <w:left w:val="nil"/>
                    <w:bottom w:val="double" w:sz="4" w:space="0" w:color="auto"/>
                    <w:right w:val="nil"/>
                  </w:tcBorders>
                  <w:shd w:val="clear" w:color="auto" w:fill="auto"/>
                  <w:noWrap/>
                  <w:vAlign w:val="bottom"/>
                </w:tcPr>
                <w:p w14:paraId="20E3EE6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59FC766B" w14:textId="77777777" w:rsidTr="00613E23">
              <w:trPr>
                <w:trHeight w:val="222"/>
                <w:jc w:val="center"/>
              </w:trPr>
              <w:tc>
                <w:tcPr>
                  <w:tcW w:w="2032" w:type="dxa"/>
                  <w:tcBorders>
                    <w:top w:val="double" w:sz="4" w:space="0" w:color="auto"/>
                    <w:left w:val="nil"/>
                    <w:bottom w:val="double" w:sz="4" w:space="0" w:color="auto"/>
                    <w:right w:val="nil"/>
                  </w:tcBorders>
                  <w:shd w:val="clear" w:color="auto" w:fill="auto"/>
                  <w:noWrap/>
                  <w:vAlign w:val="center"/>
                </w:tcPr>
                <w:p w14:paraId="6E19BF08" w14:textId="77777777" w:rsidR="00280C70" w:rsidRPr="004A63DC" w:rsidRDefault="00280C70" w:rsidP="00280C70">
                  <w:pPr>
                    <w:spacing w:after="0" w:line="240" w:lineRule="auto"/>
                    <w:jc w:val="center"/>
                    <w:rPr>
                      <w:rFonts w:ascii="Times New Roman" w:eastAsia="Times New Roman" w:hAnsi="Times New Roman" w:cs="Times New Roman"/>
                      <w:b/>
                      <w:bCs/>
                      <w:color w:val="000000"/>
                      <w:sz w:val="20"/>
                      <w:szCs w:val="20"/>
                      <w:lang w:eastAsia="es-MX"/>
                    </w:rPr>
                  </w:pPr>
                  <w:r>
                    <w:rPr>
                      <w:rFonts w:ascii="Times New Roman" w:eastAsia="Times New Roman" w:hAnsi="Times New Roman" w:cs="Times New Roman"/>
                      <w:b/>
                      <w:bCs/>
                      <w:color w:val="000000"/>
                      <w:sz w:val="20"/>
                      <w:szCs w:val="20"/>
                      <w:lang w:eastAsia="es-MX"/>
                    </w:rPr>
                    <w:t>Women</w:t>
                  </w:r>
                </w:p>
              </w:tc>
              <w:tc>
                <w:tcPr>
                  <w:tcW w:w="828" w:type="dxa"/>
                  <w:tcBorders>
                    <w:top w:val="double" w:sz="4" w:space="0" w:color="auto"/>
                    <w:left w:val="nil"/>
                    <w:bottom w:val="double" w:sz="4" w:space="0" w:color="auto"/>
                    <w:right w:val="nil"/>
                  </w:tcBorders>
                  <w:shd w:val="clear" w:color="auto" w:fill="auto"/>
                  <w:noWrap/>
                  <w:vAlign w:val="bottom"/>
                </w:tcPr>
                <w:p w14:paraId="6CC2828D"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567" w:type="dxa"/>
                  <w:tcBorders>
                    <w:top w:val="double" w:sz="4" w:space="0" w:color="auto"/>
                    <w:left w:val="nil"/>
                    <w:bottom w:val="double" w:sz="4" w:space="0" w:color="auto"/>
                    <w:right w:val="nil"/>
                  </w:tcBorders>
                  <w:shd w:val="clear" w:color="auto" w:fill="auto"/>
                  <w:noWrap/>
                  <w:vAlign w:val="bottom"/>
                </w:tcPr>
                <w:p w14:paraId="7D1743B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c>
                <w:tcPr>
                  <w:tcW w:w="850" w:type="dxa"/>
                  <w:tcBorders>
                    <w:top w:val="double" w:sz="4" w:space="0" w:color="auto"/>
                    <w:left w:val="nil"/>
                    <w:bottom w:val="double" w:sz="4" w:space="0" w:color="auto"/>
                    <w:right w:val="nil"/>
                  </w:tcBorders>
                  <w:shd w:val="clear" w:color="auto" w:fill="auto"/>
                  <w:noWrap/>
                  <w:vAlign w:val="bottom"/>
                </w:tcPr>
                <w:p w14:paraId="008EDF37"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p>
              </w:tc>
              <w:tc>
                <w:tcPr>
                  <w:tcW w:w="635" w:type="dxa"/>
                  <w:tcBorders>
                    <w:top w:val="double" w:sz="4" w:space="0" w:color="auto"/>
                    <w:left w:val="nil"/>
                    <w:bottom w:val="double" w:sz="4" w:space="0" w:color="auto"/>
                    <w:right w:val="nil"/>
                  </w:tcBorders>
                  <w:shd w:val="clear" w:color="auto" w:fill="auto"/>
                  <w:noWrap/>
                  <w:vAlign w:val="bottom"/>
                </w:tcPr>
                <w:p w14:paraId="0415F8F5"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p>
              </w:tc>
            </w:tr>
            <w:tr w:rsidR="00280C70" w:rsidRPr="000D0F3E" w14:paraId="0C36DAA7" w14:textId="77777777" w:rsidTr="00613E23">
              <w:trPr>
                <w:trHeight w:val="290"/>
                <w:jc w:val="center"/>
              </w:trPr>
              <w:tc>
                <w:tcPr>
                  <w:tcW w:w="2032" w:type="dxa"/>
                  <w:tcBorders>
                    <w:top w:val="double" w:sz="4" w:space="0" w:color="auto"/>
                    <w:left w:val="nil"/>
                    <w:bottom w:val="nil"/>
                    <w:right w:val="nil"/>
                  </w:tcBorders>
                  <w:shd w:val="clear" w:color="auto" w:fill="auto"/>
                  <w:noWrap/>
                  <w:vAlign w:val="bottom"/>
                </w:tcPr>
                <w:p w14:paraId="4557BAA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Formal employment</w:t>
                  </w:r>
                </w:p>
              </w:tc>
              <w:tc>
                <w:tcPr>
                  <w:tcW w:w="828" w:type="dxa"/>
                  <w:tcBorders>
                    <w:top w:val="double" w:sz="4" w:space="0" w:color="auto"/>
                    <w:left w:val="nil"/>
                    <w:bottom w:val="nil"/>
                    <w:right w:val="nil"/>
                  </w:tcBorders>
                  <w:shd w:val="clear" w:color="auto" w:fill="auto"/>
                  <w:noWrap/>
                  <w:vAlign w:val="bottom"/>
                  <w:hideMark/>
                </w:tcPr>
                <w:p w14:paraId="51A1443B"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-12.60</w:t>
                  </w:r>
                </w:p>
              </w:tc>
              <w:tc>
                <w:tcPr>
                  <w:tcW w:w="567" w:type="dxa"/>
                  <w:tcBorders>
                    <w:top w:val="double" w:sz="4" w:space="0" w:color="auto"/>
                    <w:left w:val="nil"/>
                    <w:bottom w:val="nil"/>
                    <w:right w:val="nil"/>
                  </w:tcBorders>
                  <w:shd w:val="clear" w:color="auto" w:fill="auto"/>
                  <w:noWrap/>
                  <w:vAlign w:val="bottom"/>
                  <w:hideMark/>
                </w:tcPr>
                <w:p w14:paraId="32C36CEB"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double" w:sz="4" w:space="0" w:color="auto"/>
                    <w:left w:val="nil"/>
                    <w:bottom w:val="nil"/>
                    <w:right w:val="nil"/>
                  </w:tcBorders>
                  <w:shd w:val="clear" w:color="auto" w:fill="auto"/>
                  <w:noWrap/>
                  <w:vAlign w:val="bottom"/>
                  <w:hideMark/>
                </w:tcPr>
                <w:p w14:paraId="0E3632EA"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-141.33</w:t>
                  </w:r>
                </w:p>
              </w:tc>
              <w:tc>
                <w:tcPr>
                  <w:tcW w:w="635" w:type="dxa"/>
                  <w:tcBorders>
                    <w:top w:val="double" w:sz="4" w:space="0" w:color="auto"/>
                    <w:left w:val="nil"/>
                    <w:bottom w:val="nil"/>
                    <w:right w:val="nil"/>
                  </w:tcBorders>
                  <w:shd w:val="clear" w:color="auto" w:fill="auto"/>
                  <w:noWrap/>
                  <w:vAlign w:val="bottom"/>
                  <w:hideMark/>
                </w:tcPr>
                <w:p w14:paraId="504BEFAF"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r w:rsidR="00280C70" w:rsidRPr="000D0F3E" w14:paraId="29BDD059" w14:textId="77777777" w:rsidTr="00613E23">
              <w:trPr>
                <w:trHeight w:val="290"/>
                <w:jc w:val="center"/>
              </w:trPr>
              <w:tc>
                <w:tcPr>
                  <w:tcW w:w="2032" w:type="dxa"/>
                  <w:tcBorders>
                    <w:top w:val="nil"/>
                    <w:left w:val="nil"/>
                    <w:bottom w:val="double" w:sz="4" w:space="0" w:color="auto"/>
                    <w:right w:val="nil"/>
                  </w:tcBorders>
                  <w:shd w:val="clear" w:color="auto" w:fill="auto"/>
                  <w:noWrap/>
                  <w:vAlign w:val="bottom"/>
                  <w:hideMark/>
                </w:tcPr>
                <w:p w14:paraId="2F6EF67C"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Informal employment</w:t>
                  </w:r>
                </w:p>
              </w:tc>
              <w:tc>
                <w:tcPr>
                  <w:tcW w:w="828" w:type="dxa"/>
                  <w:tcBorders>
                    <w:top w:val="nil"/>
                    <w:left w:val="nil"/>
                    <w:bottom w:val="double" w:sz="4" w:space="0" w:color="auto"/>
                    <w:right w:val="nil"/>
                  </w:tcBorders>
                  <w:shd w:val="clear" w:color="auto" w:fill="auto"/>
                  <w:noWrap/>
                  <w:vAlign w:val="bottom"/>
                  <w:hideMark/>
                </w:tcPr>
                <w:p w14:paraId="4EF2C744"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-12.74</w:t>
                  </w:r>
                </w:p>
              </w:tc>
              <w:tc>
                <w:tcPr>
                  <w:tcW w:w="567" w:type="dxa"/>
                  <w:tcBorders>
                    <w:top w:val="nil"/>
                    <w:left w:val="nil"/>
                    <w:bottom w:val="double" w:sz="4" w:space="0" w:color="auto"/>
                    <w:right w:val="nil"/>
                  </w:tcBorders>
                  <w:shd w:val="clear" w:color="auto" w:fill="auto"/>
                  <w:noWrap/>
                  <w:vAlign w:val="bottom"/>
                  <w:hideMark/>
                </w:tcPr>
                <w:p w14:paraId="52D35BD6"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c>
                <w:tcPr>
                  <w:tcW w:w="850" w:type="dxa"/>
                  <w:tcBorders>
                    <w:top w:val="nil"/>
                    <w:left w:val="nil"/>
                    <w:bottom w:val="double" w:sz="4" w:space="0" w:color="auto"/>
                    <w:right w:val="nil"/>
                  </w:tcBorders>
                  <w:shd w:val="clear" w:color="auto" w:fill="auto"/>
                  <w:noWrap/>
                  <w:vAlign w:val="bottom"/>
                  <w:hideMark/>
                </w:tcPr>
                <w:p w14:paraId="1176FC4F" w14:textId="77777777" w:rsidR="00280C70" w:rsidRPr="008B5D65" w:rsidRDefault="00280C70" w:rsidP="00280C70">
                  <w:pPr>
                    <w:spacing w:after="0" w:line="240" w:lineRule="auto"/>
                    <w:jc w:val="right"/>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-148.46</w:t>
                  </w:r>
                </w:p>
              </w:tc>
              <w:tc>
                <w:tcPr>
                  <w:tcW w:w="635" w:type="dxa"/>
                  <w:tcBorders>
                    <w:top w:val="nil"/>
                    <w:left w:val="nil"/>
                    <w:bottom w:val="double" w:sz="4" w:space="0" w:color="auto"/>
                    <w:right w:val="nil"/>
                  </w:tcBorders>
                  <w:shd w:val="clear" w:color="auto" w:fill="auto"/>
                  <w:noWrap/>
                  <w:vAlign w:val="bottom"/>
                  <w:hideMark/>
                </w:tcPr>
                <w:p w14:paraId="1CBA14D4" w14:textId="77777777" w:rsidR="00280C70" w:rsidRPr="008B5D65" w:rsidRDefault="00280C70" w:rsidP="00280C70">
                  <w:pPr>
                    <w:spacing w:after="0" w:line="240" w:lineRule="auto"/>
                    <w:rPr>
                      <w:rFonts w:ascii="Times New Roman" w:eastAsia="Times New Roman" w:hAnsi="Times New Roman" w:cs="Times New Roman"/>
                      <w:color w:val="000000"/>
                      <w:sz w:val="20"/>
                      <w:szCs w:val="20"/>
                      <w:lang w:eastAsia="es-MX"/>
                    </w:rPr>
                  </w:pPr>
                  <w:r w:rsidRPr="008B5D65">
                    <w:rPr>
                      <w:rFonts w:ascii="Times New Roman" w:eastAsia="Times New Roman" w:hAnsi="Times New Roman" w:cs="Times New Roman"/>
                      <w:color w:val="000000"/>
                      <w:sz w:val="20"/>
                      <w:szCs w:val="20"/>
                      <w:lang w:eastAsia="es-MX"/>
                    </w:rPr>
                    <w:t>***</w:t>
                  </w:r>
                </w:p>
              </w:tc>
            </w:tr>
          </w:tbl>
          <w:p w14:paraId="23663A5C" w14:textId="77777777" w:rsidR="00280C70" w:rsidRDefault="00280C70" w:rsidP="00DC6EDA">
            <w:pPr>
              <w:jc w:val="both"/>
              <w:rPr>
                <w:rFonts w:asciiTheme="majorBidi" w:hAnsiTheme="majorBidi"/>
                <w:color w:val="000000"/>
                <w:sz w:val="24"/>
              </w:rPr>
            </w:pPr>
          </w:p>
        </w:tc>
      </w:tr>
      <w:tr w:rsidR="00280C70" w14:paraId="649C120F" w14:textId="77777777" w:rsidTr="00280C70">
        <w:tc>
          <w:tcPr>
            <w:tcW w:w="8828" w:type="dxa"/>
          </w:tcPr>
          <w:p w14:paraId="427EF383" w14:textId="77777777" w:rsidR="00280C70" w:rsidRPr="00E92AD0" w:rsidRDefault="00280C70" w:rsidP="00280C70">
            <w:pPr>
              <w:jc w:val="both"/>
              <w:rPr>
                <w:rFonts w:asciiTheme="majorBidi" w:hAnsiTheme="majorBidi" w:cstheme="majorBidi"/>
                <w:bCs/>
                <w:i/>
                <w:iCs/>
                <w:sz w:val="20"/>
                <w:szCs w:val="20"/>
              </w:rPr>
            </w:pPr>
            <w:r w:rsidRPr="00E92AD0">
              <w:rPr>
                <w:rFonts w:asciiTheme="majorBidi" w:hAnsiTheme="majorBidi" w:cstheme="majorBidi"/>
                <w:bCs/>
                <w:i/>
                <w:iCs/>
                <w:sz w:val="20"/>
                <w:szCs w:val="20"/>
              </w:rPr>
              <w:t>p-value: 0.01***, 0.05**, 0.10*.</w:t>
            </w:r>
          </w:p>
          <w:p w14:paraId="6EB3038C" w14:textId="1B50C3C8" w:rsidR="00280C70" w:rsidRDefault="00280C70" w:rsidP="00280C70">
            <w:pPr>
              <w:jc w:val="both"/>
              <w:rPr>
                <w:rFonts w:asciiTheme="majorBidi" w:hAnsiTheme="majorBidi"/>
                <w:color w:val="000000"/>
                <w:sz w:val="24"/>
              </w:rPr>
            </w:pPr>
            <w:r w:rsidRPr="00A75D94">
              <w:rPr>
                <w:rFonts w:asciiTheme="majorBidi" w:hAnsiTheme="majorBidi" w:cstheme="majorBidi"/>
                <w:bCs/>
                <w:i/>
                <w:iCs/>
                <w:sz w:val="20"/>
                <w:szCs w:val="20"/>
              </w:rPr>
              <w:t xml:space="preserve">Source: Own estimations with time series constructed and homologized of employment surveys (ENEU-ENOE). </w:t>
            </w:r>
            <w:r>
              <w:rPr>
                <w:rFonts w:asciiTheme="majorBidi" w:hAnsiTheme="majorBidi" w:cstheme="majorBidi"/>
                <w:bCs/>
                <w:i/>
                <w:iCs/>
                <w:sz w:val="20"/>
                <w:szCs w:val="20"/>
              </w:rPr>
              <w:t>S</w:t>
            </w:r>
            <w:r w:rsidRPr="00A75D94">
              <w:rPr>
                <w:rFonts w:asciiTheme="majorBidi" w:hAnsiTheme="majorBidi" w:cstheme="majorBidi"/>
                <w:bCs/>
                <w:i/>
                <w:iCs/>
                <w:sz w:val="20"/>
                <w:szCs w:val="20"/>
              </w:rPr>
              <w:t>easonally adjusted series presented by growth rates.</w:t>
            </w:r>
          </w:p>
        </w:tc>
      </w:tr>
    </w:tbl>
    <w:p w14:paraId="65A937C1" w14:textId="4F871602" w:rsidR="00A8001F" w:rsidRDefault="00A8001F" w:rsidP="00DC6EDA">
      <w:pPr>
        <w:spacing w:after="0" w:line="240" w:lineRule="auto"/>
        <w:jc w:val="both"/>
        <w:rPr>
          <w:rFonts w:asciiTheme="majorBidi" w:hAnsiTheme="majorBidi"/>
          <w:color w:val="000000"/>
          <w:sz w:val="24"/>
        </w:rPr>
      </w:pPr>
    </w:p>
    <w:p w14:paraId="0C6421DF" w14:textId="77777777" w:rsidR="00C56D67" w:rsidRPr="00666047" w:rsidRDefault="00C56D67" w:rsidP="00DC6EDA">
      <w:pPr>
        <w:spacing w:after="0" w:line="240" w:lineRule="auto"/>
        <w:jc w:val="both"/>
        <w:rPr>
          <w:rFonts w:asciiTheme="majorBidi" w:hAnsiTheme="majorBidi"/>
          <w:color w:val="000000"/>
          <w:sz w:val="24"/>
        </w:rPr>
      </w:pPr>
    </w:p>
    <w:p w14:paraId="49ACFF67" w14:textId="3E195512" w:rsidR="004932B4" w:rsidRPr="00AA1CA4"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 xml:space="preserve">4.3 </w:t>
      </w:r>
      <w:r w:rsidR="008A0DB4" w:rsidRPr="00BE052D">
        <w:rPr>
          <w:rFonts w:asciiTheme="majorBidi" w:hAnsiTheme="majorBidi"/>
          <w:b/>
          <w:color w:val="000000"/>
          <w:sz w:val="24"/>
        </w:rPr>
        <w:t>E</w:t>
      </w:r>
      <w:r w:rsidRPr="00BE052D">
        <w:rPr>
          <w:rFonts w:asciiTheme="majorBidi" w:hAnsiTheme="majorBidi"/>
          <w:b/>
          <w:color w:val="000000"/>
          <w:sz w:val="24"/>
        </w:rPr>
        <w:t xml:space="preserve">mployment structure and dynamics </w:t>
      </w:r>
    </w:p>
    <w:p w14:paraId="765DB370" w14:textId="77777777" w:rsidR="00A8001F" w:rsidRPr="00AA1CA4" w:rsidRDefault="00A8001F" w:rsidP="00DC6EDA">
      <w:pPr>
        <w:spacing w:after="0" w:line="240" w:lineRule="auto"/>
        <w:jc w:val="both"/>
        <w:rPr>
          <w:rFonts w:asciiTheme="majorBidi" w:hAnsiTheme="majorBidi"/>
          <w:b/>
          <w:color w:val="000000"/>
          <w:sz w:val="24"/>
        </w:rPr>
      </w:pPr>
    </w:p>
    <w:p w14:paraId="5EE30C99" w14:textId="22EC7DCE" w:rsidR="004932B4" w:rsidRPr="0016142F" w:rsidRDefault="004932B4" w:rsidP="00341148">
      <w:pPr>
        <w:spacing w:after="0" w:line="240" w:lineRule="auto"/>
        <w:jc w:val="both"/>
        <w:rPr>
          <w:rFonts w:asciiTheme="majorBidi" w:hAnsiTheme="majorBidi"/>
          <w:color w:val="000000"/>
          <w:sz w:val="24"/>
        </w:rPr>
      </w:pPr>
      <w:r w:rsidRPr="00AA1CA4">
        <w:rPr>
          <w:rFonts w:asciiTheme="majorBidi" w:hAnsiTheme="majorBidi"/>
          <w:color w:val="000000"/>
          <w:sz w:val="24"/>
        </w:rPr>
        <w:t xml:space="preserve">The analysis uses an unrestricted VAR model, so one of the </w:t>
      </w:r>
      <w:r w:rsidR="00AE79C6">
        <w:rPr>
          <w:rFonts w:asciiTheme="majorBidi" w:hAnsiTheme="majorBidi"/>
          <w:color w:val="000000"/>
          <w:sz w:val="24"/>
        </w:rPr>
        <w:t>critical</w:t>
      </w:r>
      <w:r w:rsidRPr="00AA1CA4">
        <w:rPr>
          <w:rFonts w:asciiTheme="majorBidi" w:hAnsiTheme="majorBidi"/>
          <w:color w:val="000000"/>
          <w:sz w:val="24"/>
        </w:rPr>
        <w:t xml:space="preserve"> points to note is the order of the variables and the optimal number of lags for the model. Regarding the order of the variables in the VAR, there are several ordering techniques (variance decomposition and Cholesky factorization</w:t>
      </w:r>
      <w:r w:rsidRPr="004932B4">
        <w:rPr>
          <w:rFonts w:asciiTheme="majorBidi" w:hAnsiTheme="majorBidi" w:cstheme="majorBidi"/>
          <w:color w:val="000000"/>
          <w:sz w:val="24"/>
          <w:szCs w:val="24"/>
        </w:rPr>
        <w:t>)</w:t>
      </w:r>
      <w:r w:rsidR="00486447">
        <w:rPr>
          <w:rFonts w:asciiTheme="majorBidi" w:hAnsiTheme="majorBidi" w:cstheme="majorBidi"/>
          <w:color w:val="000000"/>
          <w:sz w:val="24"/>
          <w:szCs w:val="24"/>
        </w:rPr>
        <w:t>;</w:t>
      </w:r>
      <w:r w:rsidRPr="004C731D">
        <w:rPr>
          <w:rFonts w:asciiTheme="majorBidi" w:hAnsiTheme="majorBidi"/>
          <w:color w:val="000000"/>
          <w:sz w:val="24"/>
        </w:rPr>
        <w:t xml:space="preserve"> in our study</w:t>
      </w:r>
      <w:r w:rsidR="00CB48D2" w:rsidRPr="0016142F">
        <w:rPr>
          <w:rFonts w:asciiTheme="majorBidi" w:hAnsiTheme="majorBidi"/>
          <w:color w:val="000000"/>
          <w:sz w:val="24"/>
        </w:rPr>
        <w:t>,</w:t>
      </w:r>
      <w:r w:rsidRPr="0016142F">
        <w:rPr>
          <w:rFonts w:asciiTheme="majorBidi" w:hAnsiTheme="majorBidi"/>
          <w:color w:val="000000"/>
          <w:sz w:val="24"/>
        </w:rPr>
        <w:t xml:space="preserve"> we </w:t>
      </w:r>
      <w:r w:rsidR="00341148">
        <w:rPr>
          <w:rFonts w:asciiTheme="majorBidi" w:hAnsiTheme="majorBidi"/>
          <w:color w:val="000000"/>
          <w:sz w:val="24"/>
        </w:rPr>
        <w:t>stuck</w:t>
      </w:r>
      <w:r w:rsidR="00341148" w:rsidRPr="004C731D">
        <w:rPr>
          <w:rFonts w:asciiTheme="majorBidi" w:hAnsiTheme="majorBidi"/>
          <w:color w:val="000000"/>
          <w:sz w:val="24"/>
        </w:rPr>
        <w:t xml:space="preserve"> </w:t>
      </w:r>
      <w:r w:rsidRPr="0016142F">
        <w:rPr>
          <w:rFonts w:asciiTheme="majorBidi" w:hAnsiTheme="majorBidi"/>
          <w:color w:val="000000"/>
          <w:sz w:val="24"/>
        </w:rPr>
        <w:t>to the theoretical model presented in section 3.2, which respects the following order of employment</w:t>
      </w:r>
      <w:r w:rsidR="002132E6">
        <w:rPr>
          <w:rFonts w:asciiTheme="majorBidi" w:hAnsiTheme="majorBidi"/>
          <w:color w:val="000000"/>
          <w:sz w:val="24"/>
        </w:rPr>
        <w:t xml:space="preserve">, </w:t>
      </w:r>
      <w:r w:rsidRPr="0016142F">
        <w:rPr>
          <w:rFonts w:asciiTheme="majorBidi" w:hAnsiTheme="majorBidi"/>
          <w:color w:val="000000"/>
          <w:sz w:val="24"/>
        </w:rPr>
        <w:t>GDP</w:t>
      </w:r>
      <w:r w:rsidR="002132E6">
        <w:rPr>
          <w:rFonts w:asciiTheme="majorBidi" w:hAnsiTheme="majorBidi"/>
          <w:color w:val="000000"/>
          <w:sz w:val="24"/>
        </w:rPr>
        <w:t xml:space="preserve">, and </w:t>
      </w:r>
      <w:r w:rsidRPr="0016142F">
        <w:rPr>
          <w:rFonts w:asciiTheme="majorBidi" w:hAnsiTheme="majorBidi"/>
          <w:color w:val="000000"/>
          <w:sz w:val="24"/>
        </w:rPr>
        <w:t>real wages</w:t>
      </w:r>
      <w:r w:rsidRPr="004C731D">
        <w:rPr>
          <w:rFonts w:asciiTheme="majorBidi" w:hAnsiTheme="majorBidi"/>
          <w:color w:val="000000"/>
          <w:sz w:val="24"/>
        </w:rPr>
        <w:t>.</w:t>
      </w:r>
    </w:p>
    <w:p w14:paraId="365523F4" w14:textId="77777777" w:rsidR="00056F51" w:rsidRPr="00666047" w:rsidRDefault="00056F51" w:rsidP="00DC6EDA">
      <w:pPr>
        <w:spacing w:after="0" w:line="240" w:lineRule="auto"/>
        <w:jc w:val="both"/>
        <w:rPr>
          <w:rFonts w:asciiTheme="majorBidi" w:hAnsiTheme="majorBidi"/>
          <w:color w:val="000000"/>
          <w:sz w:val="24"/>
        </w:rPr>
      </w:pPr>
    </w:p>
    <w:p w14:paraId="78AD3D7E" w14:textId="722517BB" w:rsidR="00613E23" w:rsidRDefault="004932B4" w:rsidP="00BF48DE">
      <w:pPr>
        <w:spacing w:after="0" w:line="240" w:lineRule="auto"/>
        <w:jc w:val="both"/>
        <w:rPr>
          <w:rFonts w:asciiTheme="majorBidi" w:hAnsiTheme="majorBidi"/>
          <w:color w:val="000000"/>
          <w:sz w:val="24"/>
        </w:rPr>
      </w:pPr>
      <w:r w:rsidRPr="00666047">
        <w:rPr>
          <w:rFonts w:asciiTheme="majorBidi" w:hAnsiTheme="majorBidi"/>
          <w:color w:val="000000"/>
          <w:sz w:val="24"/>
        </w:rPr>
        <w:t>Once the order was implemented,</w:t>
      </w:r>
      <w:r w:rsidR="00A13D77" w:rsidRPr="00666047">
        <w:rPr>
          <w:rFonts w:asciiTheme="majorBidi" w:hAnsiTheme="majorBidi"/>
          <w:color w:val="000000"/>
          <w:sz w:val="24"/>
        </w:rPr>
        <w:t xml:space="preserve"> </w:t>
      </w:r>
      <w:r w:rsidR="00A13D77">
        <w:rPr>
          <w:rFonts w:asciiTheme="majorBidi" w:hAnsiTheme="majorBidi"/>
          <w:color w:val="000000"/>
          <w:sz w:val="24"/>
        </w:rPr>
        <w:t>we used</w:t>
      </w:r>
      <w:r w:rsidRPr="00294B9C">
        <w:rPr>
          <w:rFonts w:asciiTheme="majorBidi" w:hAnsiTheme="majorBidi"/>
          <w:color w:val="000000"/>
          <w:sz w:val="24"/>
        </w:rPr>
        <w:t xml:space="preserve"> </w:t>
      </w:r>
      <w:r w:rsidRPr="004C731D">
        <w:rPr>
          <w:rFonts w:asciiTheme="majorBidi" w:hAnsiTheme="majorBidi"/>
          <w:color w:val="000000"/>
          <w:sz w:val="24"/>
        </w:rPr>
        <w:t xml:space="preserve">at least five selection criteria </w:t>
      </w:r>
      <w:r w:rsidRPr="0016142F">
        <w:rPr>
          <w:rFonts w:asciiTheme="majorBidi" w:hAnsiTheme="majorBidi"/>
          <w:color w:val="000000"/>
          <w:sz w:val="24"/>
        </w:rPr>
        <w:t>in the estimation of the model for t</w:t>
      </w:r>
      <w:r w:rsidRPr="00666047">
        <w:rPr>
          <w:rFonts w:asciiTheme="majorBidi" w:hAnsiTheme="majorBidi"/>
          <w:color w:val="000000"/>
          <w:sz w:val="24"/>
        </w:rPr>
        <w:t xml:space="preserve">he optimal choice of lags. Table </w:t>
      </w:r>
      <w:r w:rsidR="0060243D" w:rsidRPr="00666047">
        <w:rPr>
          <w:rFonts w:asciiTheme="majorBidi" w:hAnsiTheme="majorBidi"/>
          <w:color w:val="000000"/>
          <w:sz w:val="24"/>
        </w:rPr>
        <w:t>3</w:t>
      </w:r>
      <w:r w:rsidRPr="00666047">
        <w:rPr>
          <w:rFonts w:asciiTheme="majorBidi" w:hAnsiTheme="majorBidi"/>
          <w:color w:val="000000"/>
          <w:sz w:val="24"/>
        </w:rPr>
        <w:t xml:space="preserve"> presents the statistics associated with the optimal selection.</w:t>
      </w:r>
    </w:p>
    <w:p w14:paraId="140C450A" w14:textId="35C15DE3" w:rsidR="00BF48DE" w:rsidRDefault="00BF48DE" w:rsidP="00BF48DE">
      <w:pPr>
        <w:spacing w:after="0" w:line="240" w:lineRule="auto"/>
        <w:jc w:val="both"/>
        <w:rPr>
          <w:rFonts w:asciiTheme="majorBidi" w:hAnsiTheme="majorBidi"/>
          <w:color w:val="000000"/>
          <w:sz w:val="24"/>
        </w:rPr>
      </w:pPr>
    </w:p>
    <w:p w14:paraId="35F46E91" w14:textId="77777777" w:rsidR="00BF48DE" w:rsidRPr="0016142F" w:rsidRDefault="00BF48DE" w:rsidP="00BF48DE">
      <w:pPr>
        <w:spacing w:after="0" w:line="240" w:lineRule="auto"/>
        <w:jc w:val="both"/>
        <w:rPr>
          <w:rFonts w:asciiTheme="majorBidi" w:hAnsiTheme="majorBidi"/>
          <w:color w:val="000000"/>
          <w:sz w:val="24"/>
        </w:rPr>
      </w:pPr>
      <w:r w:rsidRPr="00666047">
        <w:rPr>
          <w:rFonts w:asciiTheme="majorBidi" w:hAnsiTheme="majorBidi"/>
          <w:color w:val="000000"/>
          <w:sz w:val="24"/>
        </w:rPr>
        <w:t>As can be seen, in the study of the properties of the model</w:t>
      </w:r>
      <w:r>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 xml:space="preserve">two groups of statisticians </w:t>
      </w:r>
      <w:r>
        <w:rPr>
          <w:rFonts w:asciiTheme="majorBidi" w:hAnsiTheme="majorBidi"/>
          <w:color w:val="000000"/>
          <w:sz w:val="24"/>
        </w:rPr>
        <w:t xml:space="preserve">are </w:t>
      </w:r>
      <w:r w:rsidRPr="004C731D">
        <w:rPr>
          <w:rFonts w:asciiTheme="majorBidi" w:hAnsiTheme="majorBidi"/>
          <w:color w:val="000000"/>
          <w:sz w:val="24"/>
        </w:rPr>
        <w:t xml:space="preserve">proposing optimal lags: </w:t>
      </w:r>
      <w:r>
        <w:rPr>
          <w:rFonts w:asciiTheme="majorBidi" w:hAnsiTheme="majorBidi"/>
          <w:color w:val="000000"/>
          <w:sz w:val="24"/>
        </w:rPr>
        <w:t>the</w:t>
      </w:r>
      <w:r w:rsidRPr="004C731D">
        <w:rPr>
          <w:rFonts w:asciiTheme="majorBidi" w:hAnsiTheme="majorBidi"/>
          <w:color w:val="000000"/>
          <w:sz w:val="24"/>
        </w:rPr>
        <w:t xml:space="preserve"> </w:t>
      </w:r>
      <w:r w:rsidRPr="0016142F">
        <w:rPr>
          <w:rFonts w:asciiTheme="majorBidi" w:hAnsiTheme="majorBidi"/>
          <w:color w:val="000000"/>
          <w:sz w:val="24"/>
        </w:rPr>
        <w:t xml:space="preserve">first group (LL, LR, FPE, AIC) proposes that the number of lags should be 1, </w:t>
      </w:r>
      <w:r>
        <w:rPr>
          <w:rFonts w:asciiTheme="majorBidi" w:hAnsiTheme="majorBidi" w:cstheme="majorBidi"/>
          <w:color w:val="000000"/>
          <w:sz w:val="24"/>
          <w:szCs w:val="24"/>
        </w:rPr>
        <w:t>whereas</w:t>
      </w:r>
      <w:r w:rsidRPr="00A46182">
        <w:rPr>
          <w:rFonts w:asciiTheme="majorBidi" w:hAnsiTheme="majorBidi"/>
          <w:color w:val="000000"/>
          <w:sz w:val="24"/>
        </w:rPr>
        <w:t xml:space="preserve"> </w:t>
      </w:r>
      <w:r>
        <w:rPr>
          <w:rFonts w:asciiTheme="majorBidi" w:hAnsiTheme="majorBidi"/>
          <w:color w:val="000000"/>
          <w:sz w:val="24"/>
        </w:rPr>
        <w:t>the</w:t>
      </w:r>
      <w:r w:rsidRPr="004C731D">
        <w:rPr>
          <w:rFonts w:asciiTheme="majorBidi" w:hAnsiTheme="majorBidi"/>
          <w:color w:val="000000"/>
          <w:sz w:val="24"/>
        </w:rPr>
        <w:t xml:space="preserve"> </w:t>
      </w:r>
      <w:r w:rsidRPr="0016142F">
        <w:rPr>
          <w:rFonts w:asciiTheme="majorBidi" w:hAnsiTheme="majorBidi"/>
          <w:color w:val="000000"/>
          <w:sz w:val="24"/>
        </w:rPr>
        <w:t xml:space="preserve">second group (HQIC, SBIC) proposes </w:t>
      </w:r>
      <w:r w:rsidRPr="004C731D">
        <w:rPr>
          <w:rFonts w:asciiTheme="majorBidi" w:hAnsiTheme="majorBidi"/>
          <w:color w:val="000000"/>
          <w:sz w:val="24"/>
        </w:rPr>
        <w:t>there should be 0 lags in the estimation.</w:t>
      </w:r>
    </w:p>
    <w:p w14:paraId="7D4286C4" w14:textId="77777777" w:rsidR="00BF48DE" w:rsidRPr="00666047" w:rsidRDefault="00BF48DE" w:rsidP="00BF48DE">
      <w:pPr>
        <w:spacing w:after="0" w:line="240" w:lineRule="auto"/>
        <w:jc w:val="both"/>
        <w:rPr>
          <w:rFonts w:asciiTheme="majorBidi" w:hAnsiTheme="majorBidi"/>
          <w:color w:val="000000"/>
          <w:sz w:val="24"/>
        </w:rPr>
      </w:pPr>
    </w:p>
    <w:p w14:paraId="7C390217" w14:textId="20CA8953" w:rsidR="00BF48DE" w:rsidRPr="001D0EB6" w:rsidRDefault="00BF48DE" w:rsidP="00BF48DE">
      <w:pPr>
        <w:spacing w:after="0" w:line="240" w:lineRule="auto"/>
        <w:jc w:val="both"/>
        <w:rPr>
          <w:rFonts w:asciiTheme="majorBidi" w:hAnsiTheme="majorBidi"/>
          <w:color w:val="000000"/>
          <w:sz w:val="24"/>
        </w:rPr>
      </w:pPr>
      <w:r w:rsidRPr="00666047">
        <w:rPr>
          <w:rFonts w:asciiTheme="majorBidi" w:hAnsiTheme="majorBidi"/>
          <w:color w:val="000000"/>
          <w:sz w:val="24"/>
        </w:rPr>
        <w:t>In this research</w:t>
      </w:r>
      <w:r>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Pr>
          <w:rFonts w:asciiTheme="majorBidi" w:hAnsiTheme="majorBidi" w:cstheme="majorBidi"/>
          <w:color w:val="000000"/>
          <w:sz w:val="24"/>
          <w:szCs w:val="24"/>
        </w:rPr>
        <w:t>we</w:t>
      </w:r>
      <w:r w:rsidRPr="004C731D">
        <w:rPr>
          <w:rFonts w:asciiTheme="majorBidi" w:hAnsiTheme="majorBidi"/>
          <w:color w:val="000000"/>
          <w:sz w:val="24"/>
        </w:rPr>
        <w:t xml:space="preserve"> decided to integrate </w:t>
      </w:r>
      <w:r w:rsidR="00317BF0">
        <w:rPr>
          <w:rFonts w:asciiTheme="majorBidi" w:hAnsiTheme="majorBidi"/>
          <w:color w:val="000000"/>
          <w:sz w:val="24"/>
        </w:rPr>
        <w:t>one</w:t>
      </w:r>
      <w:r w:rsidRPr="004C731D">
        <w:rPr>
          <w:rFonts w:asciiTheme="majorBidi" w:hAnsiTheme="majorBidi"/>
          <w:color w:val="000000"/>
          <w:sz w:val="24"/>
        </w:rPr>
        <w:t xml:space="preserve"> lag in the estimation of the unrestricted VAR model, consider</w:t>
      </w:r>
      <w:r w:rsidRPr="0016142F">
        <w:rPr>
          <w:rFonts w:asciiTheme="majorBidi" w:hAnsiTheme="majorBidi"/>
          <w:color w:val="000000"/>
          <w:sz w:val="24"/>
        </w:rPr>
        <w:t>ing that four of the six tests show statistical consistency</w:t>
      </w:r>
      <w:r>
        <w:rPr>
          <w:rFonts w:asciiTheme="majorBidi" w:hAnsiTheme="majorBidi"/>
          <w:color w:val="000000"/>
          <w:sz w:val="24"/>
        </w:rPr>
        <w:t>,</w:t>
      </w:r>
      <w:r w:rsidRPr="004C731D">
        <w:rPr>
          <w:rFonts w:asciiTheme="majorBidi" w:hAnsiTheme="majorBidi"/>
          <w:color w:val="000000"/>
          <w:sz w:val="24"/>
        </w:rPr>
        <w:t xml:space="preserve"> and</w:t>
      </w:r>
      <w:r w:rsidRPr="00A46182">
        <w:rPr>
          <w:rFonts w:asciiTheme="majorBidi" w:hAnsiTheme="majorBidi"/>
          <w:color w:val="000000"/>
          <w:sz w:val="24"/>
        </w:rPr>
        <w:t xml:space="preserve"> </w:t>
      </w:r>
      <w:r>
        <w:rPr>
          <w:rFonts w:asciiTheme="majorBidi" w:hAnsiTheme="majorBidi"/>
          <w:color w:val="000000"/>
          <w:sz w:val="24"/>
        </w:rPr>
        <w:t>we</w:t>
      </w:r>
      <w:r w:rsidRPr="004C731D">
        <w:rPr>
          <w:rFonts w:asciiTheme="majorBidi" w:hAnsiTheme="majorBidi"/>
          <w:color w:val="000000"/>
          <w:sz w:val="24"/>
        </w:rPr>
        <w:t xml:space="preserve"> </w:t>
      </w:r>
      <w:r w:rsidRPr="0016142F">
        <w:rPr>
          <w:rFonts w:asciiTheme="majorBidi" w:hAnsiTheme="majorBidi"/>
          <w:color w:val="000000"/>
          <w:sz w:val="24"/>
        </w:rPr>
        <w:t>point out that the optimal number of lags is one.</w:t>
      </w:r>
    </w:p>
    <w:p w14:paraId="7A95661D" w14:textId="77777777" w:rsidR="00BF48DE" w:rsidRDefault="00BF48DE" w:rsidP="00BF48DE">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13E23" w14:paraId="584A05FF" w14:textId="77777777" w:rsidTr="00613E23">
        <w:tc>
          <w:tcPr>
            <w:tcW w:w="8828" w:type="dxa"/>
          </w:tcPr>
          <w:p w14:paraId="2BF10498" w14:textId="147194D7" w:rsidR="00613E23" w:rsidRPr="00DB7DBB" w:rsidRDefault="00613E23" w:rsidP="00A13D77">
            <w:pPr>
              <w:jc w:val="both"/>
              <w:rPr>
                <w:rFonts w:asciiTheme="majorBidi" w:hAnsiTheme="majorBidi"/>
                <w:b/>
                <w:bCs/>
                <w:color w:val="000000"/>
                <w:sz w:val="20"/>
                <w:szCs w:val="20"/>
              </w:rPr>
            </w:pPr>
            <w:r w:rsidRPr="00DB7DBB">
              <w:rPr>
                <w:rFonts w:asciiTheme="majorBidi" w:hAnsiTheme="majorBidi"/>
                <w:b/>
                <w:bCs/>
                <w:color w:val="000000"/>
                <w:sz w:val="20"/>
                <w:szCs w:val="20"/>
              </w:rPr>
              <w:t>Table 3. Selection criterion for optimal lags in VAR estimation</w:t>
            </w:r>
          </w:p>
        </w:tc>
      </w:tr>
      <w:tr w:rsidR="00613E23" w14:paraId="457304A1" w14:textId="77777777" w:rsidTr="00613E23">
        <w:tc>
          <w:tcPr>
            <w:tcW w:w="8828" w:type="dxa"/>
          </w:tcPr>
          <w:tbl>
            <w:tblPr>
              <w:tblW w:w="7160" w:type="dxa"/>
              <w:jc w:val="center"/>
              <w:tblCellMar>
                <w:left w:w="70" w:type="dxa"/>
                <w:right w:w="70" w:type="dxa"/>
              </w:tblCellMar>
              <w:tblLook w:val="04A0" w:firstRow="1" w:lastRow="0" w:firstColumn="1" w:lastColumn="0" w:noHBand="0" w:noVBand="1"/>
            </w:tblPr>
            <w:tblGrid>
              <w:gridCol w:w="580"/>
              <w:gridCol w:w="1060"/>
              <w:gridCol w:w="1080"/>
              <w:gridCol w:w="1140"/>
              <w:gridCol w:w="1120"/>
              <w:gridCol w:w="1080"/>
              <w:gridCol w:w="1100"/>
            </w:tblGrid>
            <w:tr w:rsidR="00613E23" w:rsidRPr="00613E23" w14:paraId="050C6EA5" w14:textId="77777777" w:rsidTr="00613E23">
              <w:trPr>
                <w:trHeight w:val="310"/>
                <w:jc w:val="center"/>
              </w:trPr>
              <w:tc>
                <w:tcPr>
                  <w:tcW w:w="580" w:type="dxa"/>
                  <w:tcBorders>
                    <w:top w:val="nil"/>
                    <w:left w:val="nil"/>
                    <w:bottom w:val="double" w:sz="6" w:space="0" w:color="auto"/>
                    <w:right w:val="nil"/>
                  </w:tcBorders>
                  <w:shd w:val="clear" w:color="auto" w:fill="auto"/>
                  <w:noWrap/>
                  <w:vAlign w:val="center"/>
                  <w:hideMark/>
                </w:tcPr>
                <w:p w14:paraId="430455A6"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Lag</w:t>
                  </w:r>
                </w:p>
              </w:tc>
              <w:tc>
                <w:tcPr>
                  <w:tcW w:w="1060" w:type="dxa"/>
                  <w:tcBorders>
                    <w:top w:val="nil"/>
                    <w:left w:val="nil"/>
                    <w:bottom w:val="double" w:sz="6" w:space="0" w:color="auto"/>
                    <w:right w:val="nil"/>
                  </w:tcBorders>
                  <w:shd w:val="clear" w:color="auto" w:fill="auto"/>
                  <w:noWrap/>
                  <w:vAlign w:val="center"/>
                  <w:hideMark/>
                </w:tcPr>
                <w:p w14:paraId="18569347"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LL</w:t>
                  </w:r>
                </w:p>
              </w:tc>
              <w:tc>
                <w:tcPr>
                  <w:tcW w:w="1080" w:type="dxa"/>
                  <w:tcBorders>
                    <w:top w:val="nil"/>
                    <w:left w:val="nil"/>
                    <w:bottom w:val="double" w:sz="6" w:space="0" w:color="auto"/>
                    <w:right w:val="nil"/>
                  </w:tcBorders>
                  <w:shd w:val="clear" w:color="auto" w:fill="auto"/>
                  <w:noWrap/>
                  <w:vAlign w:val="center"/>
                  <w:hideMark/>
                </w:tcPr>
                <w:p w14:paraId="4C5CD9B1"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LR</w:t>
                  </w:r>
                </w:p>
              </w:tc>
              <w:tc>
                <w:tcPr>
                  <w:tcW w:w="1140" w:type="dxa"/>
                  <w:tcBorders>
                    <w:top w:val="nil"/>
                    <w:left w:val="nil"/>
                    <w:bottom w:val="double" w:sz="6" w:space="0" w:color="auto"/>
                    <w:right w:val="nil"/>
                  </w:tcBorders>
                  <w:shd w:val="clear" w:color="auto" w:fill="auto"/>
                  <w:noWrap/>
                  <w:vAlign w:val="center"/>
                  <w:hideMark/>
                </w:tcPr>
                <w:p w14:paraId="21183F68"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FPE</w:t>
                  </w:r>
                </w:p>
              </w:tc>
              <w:tc>
                <w:tcPr>
                  <w:tcW w:w="1120" w:type="dxa"/>
                  <w:tcBorders>
                    <w:top w:val="nil"/>
                    <w:left w:val="nil"/>
                    <w:bottom w:val="double" w:sz="6" w:space="0" w:color="auto"/>
                    <w:right w:val="nil"/>
                  </w:tcBorders>
                  <w:shd w:val="clear" w:color="auto" w:fill="auto"/>
                  <w:noWrap/>
                  <w:vAlign w:val="center"/>
                  <w:hideMark/>
                </w:tcPr>
                <w:p w14:paraId="3A454608"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AIC</w:t>
                  </w:r>
                </w:p>
              </w:tc>
              <w:tc>
                <w:tcPr>
                  <w:tcW w:w="1080" w:type="dxa"/>
                  <w:tcBorders>
                    <w:top w:val="nil"/>
                    <w:left w:val="nil"/>
                    <w:bottom w:val="double" w:sz="6" w:space="0" w:color="auto"/>
                    <w:right w:val="nil"/>
                  </w:tcBorders>
                  <w:shd w:val="clear" w:color="auto" w:fill="auto"/>
                  <w:noWrap/>
                  <w:vAlign w:val="center"/>
                  <w:hideMark/>
                </w:tcPr>
                <w:p w14:paraId="0E9C852A"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HQIC</w:t>
                  </w:r>
                </w:p>
              </w:tc>
              <w:tc>
                <w:tcPr>
                  <w:tcW w:w="1100" w:type="dxa"/>
                  <w:tcBorders>
                    <w:top w:val="nil"/>
                    <w:left w:val="nil"/>
                    <w:bottom w:val="double" w:sz="6" w:space="0" w:color="auto"/>
                    <w:right w:val="nil"/>
                  </w:tcBorders>
                  <w:shd w:val="clear" w:color="auto" w:fill="auto"/>
                  <w:noWrap/>
                  <w:vAlign w:val="center"/>
                  <w:hideMark/>
                </w:tcPr>
                <w:p w14:paraId="25AD5116" w14:textId="77777777" w:rsidR="00613E23" w:rsidRPr="00613E23" w:rsidRDefault="00613E23" w:rsidP="00613E23">
                  <w:pPr>
                    <w:spacing w:after="0" w:line="240" w:lineRule="auto"/>
                    <w:jc w:val="center"/>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SBIC</w:t>
                  </w:r>
                </w:p>
              </w:tc>
            </w:tr>
            <w:tr w:rsidR="00613E23" w:rsidRPr="00613E23" w14:paraId="169E4408" w14:textId="77777777" w:rsidTr="00613E23">
              <w:trPr>
                <w:trHeight w:val="300"/>
                <w:jc w:val="center"/>
              </w:trPr>
              <w:tc>
                <w:tcPr>
                  <w:tcW w:w="580" w:type="dxa"/>
                  <w:tcBorders>
                    <w:top w:val="nil"/>
                    <w:left w:val="nil"/>
                    <w:bottom w:val="nil"/>
                    <w:right w:val="nil"/>
                  </w:tcBorders>
                  <w:shd w:val="clear" w:color="auto" w:fill="auto"/>
                  <w:noWrap/>
                  <w:vAlign w:val="center"/>
                  <w:hideMark/>
                </w:tcPr>
                <w:p w14:paraId="48FD6584"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w:t>
                  </w:r>
                </w:p>
              </w:tc>
              <w:tc>
                <w:tcPr>
                  <w:tcW w:w="1060" w:type="dxa"/>
                  <w:tcBorders>
                    <w:top w:val="nil"/>
                    <w:left w:val="nil"/>
                    <w:bottom w:val="nil"/>
                    <w:right w:val="nil"/>
                  </w:tcBorders>
                  <w:shd w:val="clear" w:color="auto" w:fill="auto"/>
                  <w:noWrap/>
                  <w:vAlign w:val="center"/>
                  <w:hideMark/>
                </w:tcPr>
                <w:p w14:paraId="3C2C4DE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1808.18</w:t>
                  </w:r>
                </w:p>
              </w:tc>
              <w:tc>
                <w:tcPr>
                  <w:tcW w:w="1080" w:type="dxa"/>
                  <w:tcBorders>
                    <w:top w:val="nil"/>
                    <w:left w:val="nil"/>
                    <w:bottom w:val="nil"/>
                    <w:right w:val="nil"/>
                  </w:tcBorders>
                  <w:shd w:val="clear" w:color="auto" w:fill="auto"/>
                  <w:noWrap/>
                  <w:vAlign w:val="bottom"/>
                  <w:hideMark/>
                </w:tcPr>
                <w:p w14:paraId="0AB62FD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140" w:type="dxa"/>
                  <w:tcBorders>
                    <w:top w:val="nil"/>
                    <w:left w:val="nil"/>
                    <w:bottom w:val="nil"/>
                    <w:right w:val="nil"/>
                  </w:tcBorders>
                  <w:shd w:val="clear" w:color="auto" w:fill="auto"/>
                  <w:noWrap/>
                  <w:vAlign w:val="center"/>
                  <w:hideMark/>
                </w:tcPr>
                <w:p w14:paraId="0A558A5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1.90E-20</w:t>
                  </w:r>
                </w:p>
              </w:tc>
              <w:tc>
                <w:tcPr>
                  <w:tcW w:w="1120" w:type="dxa"/>
                  <w:tcBorders>
                    <w:top w:val="nil"/>
                    <w:left w:val="nil"/>
                    <w:bottom w:val="nil"/>
                    <w:right w:val="nil"/>
                  </w:tcBorders>
                  <w:shd w:val="clear" w:color="auto" w:fill="auto"/>
                  <w:noWrap/>
                  <w:vAlign w:val="center"/>
                  <w:hideMark/>
                </w:tcPr>
                <w:p w14:paraId="0EAA146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-28.3808</w:t>
                  </w:r>
                </w:p>
              </w:tc>
              <w:tc>
                <w:tcPr>
                  <w:tcW w:w="1080" w:type="dxa"/>
                  <w:tcBorders>
                    <w:top w:val="nil"/>
                    <w:left w:val="nil"/>
                    <w:bottom w:val="nil"/>
                    <w:right w:val="nil"/>
                  </w:tcBorders>
                  <w:shd w:val="clear" w:color="auto" w:fill="auto"/>
                  <w:noWrap/>
                  <w:vAlign w:val="center"/>
                  <w:hideMark/>
                </w:tcPr>
                <w:p w14:paraId="2DDCE47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-28.3262*</w:t>
                  </w:r>
                </w:p>
              </w:tc>
              <w:tc>
                <w:tcPr>
                  <w:tcW w:w="1100" w:type="dxa"/>
                  <w:tcBorders>
                    <w:top w:val="nil"/>
                    <w:left w:val="nil"/>
                    <w:bottom w:val="nil"/>
                    <w:right w:val="nil"/>
                  </w:tcBorders>
                  <w:shd w:val="clear" w:color="auto" w:fill="auto"/>
                  <w:noWrap/>
                  <w:vAlign w:val="center"/>
                  <w:hideMark/>
                </w:tcPr>
                <w:p w14:paraId="0E34B206"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-28.2465*</w:t>
                  </w:r>
                </w:p>
              </w:tc>
            </w:tr>
            <w:tr w:rsidR="00613E23" w:rsidRPr="00613E23" w14:paraId="7627F7F5"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50A4B50E"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w:t>
                  </w:r>
                </w:p>
              </w:tc>
              <w:tc>
                <w:tcPr>
                  <w:tcW w:w="1060" w:type="dxa"/>
                  <w:tcBorders>
                    <w:top w:val="nil"/>
                    <w:left w:val="nil"/>
                    <w:bottom w:val="nil"/>
                    <w:right w:val="nil"/>
                  </w:tcBorders>
                  <w:shd w:val="clear" w:color="auto" w:fill="auto"/>
                  <w:noWrap/>
                  <w:vAlign w:val="center"/>
                  <w:hideMark/>
                </w:tcPr>
                <w:p w14:paraId="59C2C53B"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1847.78</w:t>
                  </w:r>
                </w:p>
              </w:tc>
              <w:tc>
                <w:tcPr>
                  <w:tcW w:w="1080" w:type="dxa"/>
                  <w:tcBorders>
                    <w:top w:val="nil"/>
                    <w:left w:val="nil"/>
                    <w:bottom w:val="nil"/>
                    <w:right w:val="nil"/>
                  </w:tcBorders>
                  <w:shd w:val="clear" w:color="auto" w:fill="auto"/>
                  <w:noWrap/>
                  <w:vAlign w:val="center"/>
                  <w:hideMark/>
                </w:tcPr>
                <w:p w14:paraId="20155EE6"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79.202</w:t>
                  </w:r>
                </w:p>
              </w:tc>
              <w:tc>
                <w:tcPr>
                  <w:tcW w:w="1140" w:type="dxa"/>
                  <w:tcBorders>
                    <w:top w:val="nil"/>
                    <w:left w:val="nil"/>
                    <w:bottom w:val="nil"/>
                    <w:right w:val="nil"/>
                  </w:tcBorders>
                  <w:shd w:val="clear" w:color="auto" w:fill="auto"/>
                  <w:noWrap/>
                  <w:vAlign w:val="center"/>
                  <w:hideMark/>
                </w:tcPr>
                <w:p w14:paraId="6EE657B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1.8E-20*</w:t>
                  </w:r>
                </w:p>
              </w:tc>
              <w:tc>
                <w:tcPr>
                  <w:tcW w:w="1120" w:type="dxa"/>
                  <w:tcBorders>
                    <w:top w:val="nil"/>
                    <w:left w:val="nil"/>
                    <w:bottom w:val="nil"/>
                    <w:right w:val="nil"/>
                  </w:tcBorders>
                  <w:shd w:val="clear" w:color="auto" w:fill="auto"/>
                  <w:noWrap/>
                  <w:vAlign w:val="center"/>
                  <w:hideMark/>
                </w:tcPr>
                <w:p w14:paraId="15BF4612" w14:textId="77777777" w:rsidR="00613E23" w:rsidRPr="00613E23" w:rsidRDefault="00613E23" w:rsidP="00613E23">
                  <w:pPr>
                    <w:spacing w:after="0" w:line="240" w:lineRule="auto"/>
                    <w:jc w:val="right"/>
                    <w:rPr>
                      <w:rFonts w:ascii="Times New Roman" w:eastAsia="Times New Roman" w:hAnsi="Times New Roman" w:cs="Times New Roman"/>
                      <w:b/>
                      <w:bCs/>
                      <w:color w:val="000000"/>
                      <w:sz w:val="20"/>
                      <w:szCs w:val="20"/>
                      <w:lang w:val="es-MX" w:eastAsia="es-MX"/>
                    </w:rPr>
                  </w:pPr>
                  <w:r w:rsidRPr="00613E23">
                    <w:rPr>
                      <w:rFonts w:ascii="Times New Roman" w:eastAsia="Times New Roman" w:hAnsi="Times New Roman" w:cs="Times New Roman"/>
                      <w:b/>
                      <w:bCs/>
                      <w:color w:val="000000"/>
                      <w:sz w:val="20"/>
                      <w:szCs w:val="20"/>
                      <w:lang w:val="es-MX" w:eastAsia="es-MX"/>
                    </w:rPr>
                    <w:t>-28.4375*</w:t>
                  </w:r>
                </w:p>
              </w:tc>
              <w:tc>
                <w:tcPr>
                  <w:tcW w:w="1080" w:type="dxa"/>
                  <w:tcBorders>
                    <w:top w:val="nil"/>
                    <w:left w:val="nil"/>
                    <w:bottom w:val="nil"/>
                    <w:right w:val="nil"/>
                  </w:tcBorders>
                  <w:shd w:val="clear" w:color="auto" w:fill="auto"/>
                  <w:noWrap/>
                  <w:vAlign w:val="center"/>
                  <w:hideMark/>
                </w:tcPr>
                <w:p w14:paraId="65EFE47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-28.4375</w:t>
                  </w:r>
                </w:p>
              </w:tc>
              <w:tc>
                <w:tcPr>
                  <w:tcW w:w="1100" w:type="dxa"/>
                  <w:tcBorders>
                    <w:top w:val="nil"/>
                    <w:left w:val="nil"/>
                    <w:bottom w:val="nil"/>
                    <w:right w:val="nil"/>
                  </w:tcBorders>
                  <w:shd w:val="clear" w:color="auto" w:fill="auto"/>
                  <w:noWrap/>
                  <w:vAlign w:val="center"/>
                  <w:hideMark/>
                </w:tcPr>
                <w:p w14:paraId="3F1DD2A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-27.4969</w:t>
                  </w:r>
                </w:p>
              </w:tc>
            </w:tr>
            <w:tr w:rsidR="00613E23" w:rsidRPr="00613E23" w14:paraId="0FC8A41B"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76606C49"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w:t>
                  </w:r>
                </w:p>
              </w:tc>
              <w:tc>
                <w:tcPr>
                  <w:tcW w:w="1060" w:type="dxa"/>
                  <w:tcBorders>
                    <w:top w:val="nil"/>
                    <w:left w:val="nil"/>
                    <w:bottom w:val="nil"/>
                    <w:right w:val="nil"/>
                  </w:tcBorders>
                  <w:shd w:val="clear" w:color="auto" w:fill="auto"/>
                  <w:noWrap/>
                  <w:vAlign w:val="center"/>
                  <w:hideMark/>
                </w:tcPr>
                <w:p w14:paraId="6C27172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1866.86</w:t>
                  </w:r>
                </w:p>
              </w:tc>
              <w:tc>
                <w:tcPr>
                  <w:tcW w:w="1080" w:type="dxa"/>
                  <w:tcBorders>
                    <w:top w:val="nil"/>
                    <w:left w:val="nil"/>
                    <w:bottom w:val="nil"/>
                    <w:right w:val="nil"/>
                  </w:tcBorders>
                  <w:shd w:val="clear" w:color="auto" w:fill="auto"/>
                  <w:noWrap/>
                  <w:vAlign w:val="center"/>
                  <w:hideMark/>
                </w:tcPr>
                <w:p w14:paraId="32AFAC3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38.148</w:t>
                  </w:r>
                </w:p>
              </w:tc>
              <w:tc>
                <w:tcPr>
                  <w:tcW w:w="1140" w:type="dxa"/>
                  <w:tcBorders>
                    <w:top w:val="nil"/>
                    <w:left w:val="nil"/>
                    <w:bottom w:val="nil"/>
                    <w:right w:val="nil"/>
                  </w:tcBorders>
                  <w:shd w:val="clear" w:color="auto" w:fill="auto"/>
                  <w:noWrap/>
                  <w:vAlign w:val="center"/>
                  <w:hideMark/>
                </w:tcPr>
                <w:p w14:paraId="186DFE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2.40E-20</w:t>
                  </w:r>
                </w:p>
              </w:tc>
              <w:tc>
                <w:tcPr>
                  <w:tcW w:w="1120" w:type="dxa"/>
                  <w:tcBorders>
                    <w:top w:val="nil"/>
                    <w:left w:val="nil"/>
                    <w:bottom w:val="nil"/>
                    <w:right w:val="nil"/>
                  </w:tcBorders>
                  <w:shd w:val="clear" w:color="auto" w:fill="auto"/>
                  <w:noWrap/>
                  <w:vAlign w:val="center"/>
                  <w:hideMark/>
                </w:tcPr>
                <w:p w14:paraId="4ECBB29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-28.171</w:t>
                  </w:r>
                </w:p>
              </w:tc>
              <w:tc>
                <w:tcPr>
                  <w:tcW w:w="1080" w:type="dxa"/>
                  <w:tcBorders>
                    <w:top w:val="nil"/>
                    <w:left w:val="nil"/>
                    <w:bottom w:val="nil"/>
                    <w:right w:val="nil"/>
                  </w:tcBorders>
                  <w:shd w:val="clear" w:color="auto" w:fill="auto"/>
                  <w:noWrap/>
                  <w:vAlign w:val="center"/>
                  <w:hideMark/>
                </w:tcPr>
                <w:p w14:paraId="778EB08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-28.171</w:t>
                  </w:r>
                </w:p>
              </w:tc>
              <w:tc>
                <w:tcPr>
                  <w:tcW w:w="1100" w:type="dxa"/>
                  <w:tcBorders>
                    <w:top w:val="nil"/>
                    <w:left w:val="nil"/>
                    <w:bottom w:val="nil"/>
                    <w:right w:val="nil"/>
                  </w:tcBorders>
                  <w:shd w:val="clear" w:color="auto" w:fill="auto"/>
                  <w:noWrap/>
                  <w:vAlign w:val="center"/>
                  <w:hideMark/>
                </w:tcPr>
                <w:p w14:paraId="38181AC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-26.4242</w:t>
                  </w:r>
                </w:p>
              </w:tc>
            </w:tr>
            <w:tr w:rsidR="00613E23" w:rsidRPr="00613E23" w14:paraId="7845B686" w14:textId="77777777" w:rsidTr="00613E23">
              <w:trPr>
                <w:trHeight w:val="290"/>
                <w:jc w:val="center"/>
              </w:trPr>
              <w:tc>
                <w:tcPr>
                  <w:tcW w:w="580" w:type="dxa"/>
                  <w:tcBorders>
                    <w:top w:val="nil"/>
                    <w:left w:val="nil"/>
                    <w:bottom w:val="nil"/>
                    <w:right w:val="nil"/>
                  </w:tcBorders>
                  <w:shd w:val="clear" w:color="auto" w:fill="auto"/>
                  <w:noWrap/>
                  <w:vAlign w:val="center"/>
                  <w:hideMark/>
                </w:tcPr>
                <w:p w14:paraId="1F4C68CB"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w:t>
                  </w:r>
                </w:p>
              </w:tc>
              <w:tc>
                <w:tcPr>
                  <w:tcW w:w="1060" w:type="dxa"/>
                  <w:tcBorders>
                    <w:top w:val="nil"/>
                    <w:left w:val="nil"/>
                    <w:bottom w:val="nil"/>
                    <w:right w:val="nil"/>
                  </w:tcBorders>
                  <w:shd w:val="clear" w:color="auto" w:fill="auto"/>
                  <w:noWrap/>
                  <w:vAlign w:val="center"/>
                  <w:hideMark/>
                </w:tcPr>
                <w:p w14:paraId="515CE41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1886.93</w:t>
                  </w:r>
                </w:p>
              </w:tc>
              <w:tc>
                <w:tcPr>
                  <w:tcW w:w="1080" w:type="dxa"/>
                  <w:tcBorders>
                    <w:top w:val="nil"/>
                    <w:left w:val="nil"/>
                    <w:bottom w:val="nil"/>
                    <w:right w:val="nil"/>
                  </w:tcBorders>
                  <w:shd w:val="clear" w:color="auto" w:fill="auto"/>
                  <w:noWrap/>
                  <w:vAlign w:val="center"/>
                  <w:hideMark/>
                </w:tcPr>
                <w:p w14:paraId="73A68CC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40.143</w:t>
                  </w:r>
                </w:p>
              </w:tc>
              <w:tc>
                <w:tcPr>
                  <w:tcW w:w="1140" w:type="dxa"/>
                  <w:tcBorders>
                    <w:top w:val="nil"/>
                    <w:left w:val="nil"/>
                    <w:bottom w:val="nil"/>
                    <w:right w:val="nil"/>
                  </w:tcBorders>
                  <w:shd w:val="clear" w:color="auto" w:fill="auto"/>
                  <w:noWrap/>
                  <w:vAlign w:val="center"/>
                  <w:hideMark/>
                </w:tcPr>
                <w:p w14:paraId="5774CE3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3.10E-20</w:t>
                  </w:r>
                </w:p>
              </w:tc>
              <w:tc>
                <w:tcPr>
                  <w:tcW w:w="1120" w:type="dxa"/>
                  <w:tcBorders>
                    <w:top w:val="nil"/>
                    <w:left w:val="nil"/>
                    <w:bottom w:val="nil"/>
                    <w:right w:val="nil"/>
                  </w:tcBorders>
                  <w:shd w:val="clear" w:color="auto" w:fill="auto"/>
                  <w:noWrap/>
                  <w:vAlign w:val="center"/>
                  <w:hideMark/>
                </w:tcPr>
                <w:p w14:paraId="37181F4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-27.9201</w:t>
                  </w:r>
                </w:p>
              </w:tc>
              <w:tc>
                <w:tcPr>
                  <w:tcW w:w="1080" w:type="dxa"/>
                  <w:tcBorders>
                    <w:top w:val="nil"/>
                    <w:left w:val="nil"/>
                    <w:bottom w:val="nil"/>
                    <w:right w:val="nil"/>
                  </w:tcBorders>
                  <w:shd w:val="clear" w:color="auto" w:fill="auto"/>
                  <w:noWrap/>
                  <w:vAlign w:val="center"/>
                  <w:hideMark/>
                </w:tcPr>
                <w:p w14:paraId="33748D9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-27.9201</w:t>
                  </w:r>
                </w:p>
              </w:tc>
              <w:tc>
                <w:tcPr>
                  <w:tcW w:w="1100" w:type="dxa"/>
                  <w:tcBorders>
                    <w:top w:val="nil"/>
                    <w:left w:val="nil"/>
                    <w:bottom w:val="nil"/>
                    <w:right w:val="nil"/>
                  </w:tcBorders>
                  <w:shd w:val="clear" w:color="auto" w:fill="auto"/>
                  <w:noWrap/>
                  <w:vAlign w:val="center"/>
                  <w:hideMark/>
                </w:tcPr>
                <w:p w14:paraId="1969509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-25.3671</w:t>
                  </w:r>
                </w:p>
              </w:tc>
            </w:tr>
            <w:tr w:rsidR="00613E23" w:rsidRPr="00613E23" w14:paraId="2C0D0E41" w14:textId="77777777" w:rsidTr="00613E23">
              <w:trPr>
                <w:trHeight w:val="300"/>
                <w:jc w:val="center"/>
              </w:trPr>
              <w:tc>
                <w:tcPr>
                  <w:tcW w:w="580" w:type="dxa"/>
                  <w:tcBorders>
                    <w:top w:val="nil"/>
                    <w:left w:val="nil"/>
                    <w:bottom w:val="double" w:sz="6" w:space="0" w:color="auto"/>
                    <w:right w:val="nil"/>
                  </w:tcBorders>
                  <w:shd w:val="clear" w:color="auto" w:fill="auto"/>
                  <w:noWrap/>
                  <w:vAlign w:val="center"/>
                  <w:hideMark/>
                </w:tcPr>
                <w:p w14:paraId="257834A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4</w:t>
                  </w:r>
                </w:p>
              </w:tc>
              <w:tc>
                <w:tcPr>
                  <w:tcW w:w="1060" w:type="dxa"/>
                  <w:tcBorders>
                    <w:top w:val="nil"/>
                    <w:left w:val="nil"/>
                    <w:bottom w:val="double" w:sz="6" w:space="0" w:color="auto"/>
                    <w:right w:val="nil"/>
                  </w:tcBorders>
                  <w:shd w:val="clear" w:color="auto" w:fill="auto"/>
                  <w:noWrap/>
                  <w:vAlign w:val="center"/>
                  <w:hideMark/>
                </w:tcPr>
                <w:p w14:paraId="0F89D6B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1914.17</w:t>
                  </w:r>
                </w:p>
              </w:tc>
              <w:tc>
                <w:tcPr>
                  <w:tcW w:w="1080" w:type="dxa"/>
                  <w:tcBorders>
                    <w:top w:val="nil"/>
                    <w:left w:val="nil"/>
                    <w:bottom w:val="double" w:sz="6" w:space="0" w:color="auto"/>
                    <w:right w:val="nil"/>
                  </w:tcBorders>
                  <w:shd w:val="clear" w:color="auto" w:fill="auto"/>
                  <w:noWrap/>
                  <w:vAlign w:val="center"/>
                  <w:hideMark/>
                </w:tcPr>
                <w:p w14:paraId="360027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54.479</w:t>
                  </w:r>
                </w:p>
              </w:tc>
              <w:tc>
                <w:tcPr>
                  <w:tcW w:w="1140" w:type="dxa"/>
                  <w:tcBorders>
                    <w:top w:val="nil"/>
                    <w:left w:val="nil"/>
                    <w:bottom w:val="double" w:sz="6" w:space="0" w:color="auto"/>
                    <w:right w:val="nil"/>
                  </w:tcBorders>
                  <w:shd w:val="clear" w:color="auto" w:fill="auto"/>
                  <w:noWrap/>
                  <w:vAlign w:val="center"/>
                  <w:hideMark/>
                </w:tcPr>
                <w:p w14:paraId="3EFAB8C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3.60E-20</w:t>
                  </w:r>
                </w:p>
              </w:tc>
              <w:tc>
                <w:tcPr>
                  <w:tcW w:w="1120" w:type="dxa"/>
                  <w:tcBorders>
                    <w:top w:val="nil"/>
                    <w:left w:val="nil"/>
                    <w:bottom w:val="double" w:sz="6" w:space="0" w:color="auto"/>
                    <w:right w:val="nil"/>
                  </w:tcBorders>
                  <w:shd w:val="clear" w:color="auto" w:fill="auto"/>
                  <w:noWrap/>
                  <w:vAlign w:val="center"/>
                  <w:hideMark/>
                </w:tcPr>
                <w:p w14:paraId="338F484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-27.7822</w:t>
                  </w:r>
                </w:p>
              </w:tc>
              <w:tc>
                <w:tcPr>
                  <w:tcW w:w="1080" w:type="dxa"/>
                  <w:tcBorders>
                    <w:top w:val="nil"/>
                    <w:left w:val="nil"/>
                    <w:bottom w:val="double" w:sz="6" w:space="0" w:color="auto"/>
                    <w:right w:val="nil"/>
                  </w:tcBorders>
                  <w:shd w:val="clear" w:color="auto" w:fill="auto"/>
                  <w:noWrap/>
                  <w:vAlign w:val="center"/>
                  <w:hideMark/>
                </w:tcPr>
                <w:p w14:paraId="1AD4255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-27.7822</w:t>
                  </w:r>
                </w:p>
              </w:tc>
              <w:tc>
                <w:tcPr>
                  <w:tcW w:w="1100" w:type="dxa"/>
                  <w:tcBorders>
                    <w:top w:val="nil"/>
                    <w:left w:val="nil"/>
                    <w:bottom w:val="double" w:sz="6" w:space="0" w:color="auto"/>
                    <w:right w:val="nil"/>
                  </w:tcBorders>
                  <w:shd w:val="clear" w:color="auto" w:fill="auto"/>
                  <w:noWrap/>
                  <w:vAlign w:val="center"/>
                  <w:hideMark/>
                </w:tcPr>
                <w:p w14:paraId="57A9E6EE"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-24.4229</w:t>
                  </w:r>
                </w:p>
              </w:tc>
            </w:tr>
          </w:tbl>
          <w:p w14:paraId="2AD4EC1E" w14:textId="77777777" w:rsidR="00613E23" w:rsidRDefault="00613E23" w:rsidP="00A13D77">
            <w:pPr>
              <w:jc w:val="both"/>
              <w:rPr>
                <w:rFonts w:asciiTheme="majorBidi" w:hAnsiTheme="majorBidi"/>
                <w:color w:val="000000"/>
                <w:sz w:val="24"/>
              </w:rPr>
            </w:pPr>
          </w:p>
        </w:tc>
      </w:tr>
      <w:tr w:rsidR="00613E23" w14:paraId="605F6FC6" w14:textId="77777777" w:rsidTr="00613E23">
        <w:tc>
          <w:tcPr>
            <w:tcW w:w="8828" w:type="dxa"/>
          </w:tcPr>
          <w:p w14:paraId="40671134" w14:textId="2E5C4ACD" w:rsidR="00613E23" w:rsidRDefault="00613E23" w:rsidP="00A13D77">
            <w:pPr>
              <w:jc w:val="both"/>
              <w:rPr>
                <w:rFonts w:asciiTheme="majorBidi" w:hAnsiTheme="majorBidi"/>
                <w:i/>
                <w:iCs/>
                <w:color w:val="000000"/>
                <w:sz w:val="20"/>
                <w:szCs w:val="18"/>
              </w:rPr>
            </w:pPr>
            <w:r w:rsidRPr="00613E23">
              <w:rPr>
                <w:rFonts w:asciiTheme="majorBidi" w:hAnsiTheme="majorBidi"/>
                <w:i/>
                <w:iCs/>
                <w:color w:val="000000"/>
                <w:sz w:val="20"/>
                <w:szCs w:val="18"/>
              </w:rPr>
              <w:t xml:space="preserve">Source: Own estimations with time series constructed and homologized of employment surveys (ENEU-ENOE). </w:t>
            </w:r>
            <w:r w:rsidR="00317BF0">
              <w:rPr>
                <w:rFonts w:asciiTheme="majorBidi" w:hAnsiTheme="majorBidi"/>
                <w:i/>
                <w:iCs/>
                <w:color w:val="000000"/>
                <w:sz w:val="20"/>
                <w:szCs w:val="18"/>
              </w:rPr>
              <w:t>S</w:t>
            </w:r>
            <w:r w:rsidRPr="00613E23">
              <w:rPr>
                <w:rFonts w:asciiTheme="majorBidi" w:hAnsiTheme="majorBidi"/>
                <w:i/>
                <w:iCs/>
                <w:color w:val="000000"/>
                <w:sz w:val="20"/>
                <w:szCs w:val="18"/>
              </w:rPr>
              <w:t>easonally adjusted series presented by growth.</w:t>
            </w:r>
          </w:p>
          <w:p w14:paraId="68856423" w14:textId="2D7687EB" w:rsidR="00613E23" w:rsidRPr="00613E23" w:rsidRDefault="00613E23" w:rsidP="00A13D77">
            <w:pPr>
              <w:jc w:val="both"/>
              <w:rPr>
                <w:rFonts w:asciiTheme="majorBidi" w:hAnsiTheme="majorBidi"/>
                <w:i/>
                <w:iCs/>
                <w:color w:val="000000"/>
                <w:sz w:val="20"/>
                <w:szCs w:val="18"/>
              </w:rPr>
            </w:pPr>
            <w:r w:rsidRPr="00613E23">
              <w:rPr>
                <w:rFonts w:asciiTheme="majorBidi" w:hAnsiTheme="majorBidi"/>
                <w:i/>
                <w:iCs/>
                <w:color w:val="000000"/>
                <w:sz w:val="20"/>
                <w:szCs w:val="18"/>
              </w:rPr>
              <w:t>Notes: Sample 127 observations. LL: log</w:t>
            </w:r>
            <w:r w:rsidR="00317BF0">
              <w:rPr>
                <w:rFonts w:asciiTheme="majorBidi" w:hAnsiTheme="majorBidi"/>
                <w:i/>
                <w:iCs/>
                <w:color w:val="000000"/>
                <w:sz w:val="20"/>
                <w:szCs w:val="18"/>
              </w:rPr>
              <w:t>-</w:t>
            </w:r>
            <w:r w:rsidRPr="00613E23">
              <w:rPr>
                <w:rFonts w:asciiTheme="majorBidi" w:hAnsiTheme="majorBidi"/>
                <w:i/>
                <w:iCs/>
                <w:color w:val="000000"/>
                <w:sz w:val="20"/>
                <w:szCs w:val="18"/>
              </w:rPr>
              <w:t>likelihood, LR: likelihood ratio, FPE: final prediction error, AIC: Akaike</w:t>
            </w:r>
            <w:r w:rsidR="00317BF0">
              <w:rPr>
                <w:rFonts w:asciiTheme="majorBidi" w:hAnsiTheme="majorBidi"/>
                <w:i/>
                <w:iCs/>
                <w:color w:val="000000"/>
                <w:sz w:val="20"/>
                <w:szCs w:val="18"/>
              </w:rPr>
              <w:t>'</w:t>
            </w:r>
            <w:r w:rsidRPr="00613E23">
              <w:rPr>
                <w:rFonts w:asciiTheme="majorBidi" w:hAnsiTheme="majorBidi"/>
                <w:i/>
                <w:iCs/>
                <w:color w:val="000000"/>
                <w:sz w:val="20"/>
                <w:szCs w:val="18"/>
              </w:rPr>
              <w:t xml:space="preserve">s information criterion, HQIC: Hannan and Quinn information criterion, SBIC: Schwarz's Bayesian information criterion.               </w:t>
            </w:r>
          </w:p>
        </w:tc>
      </w:tr>
    </w:tbl>
    <w:p w14:paraId="556F7974" w14:textId="77777777" w:rsidR="00A8001F" w:rsidRPr="00666047" w:rsidRDefault="00A8001F" w:rsidP="00DC6EDA">
      <w:pPr>
        <w:spacing w:after="0" w:line="240" w:lineRule="auto"/>
        <w:jc w:val="both"/>
        <w:rPr>
          <w:rFonts w:asciiTheme="majorBidi" w:hAnsiTheme="majorBidi"/>
          <w:color w:val="000000"/>
          <w:sz w:val="24"/>
        </w:rPr>
      </w:pPr>
    </w:p>
    <w:p w14:paraId="1A20B403" w14:textId="3A397A55" w:rsidR="004932B4" w:rsidRPr="0016142F" w:rsidRDefault="00A13D77" w:rsidP="00A13D77">
      <w:pPr>
        <w:spacing w:after="0" w:line="240" w:lineRule="auto"/>
        <w:jc w:val="both"/>
        <w:rPr>
          <w:rFonts w:asciiTheme="majorBidi" w:hAnsiTheme="majorBidi"/>
          <w:color w:val="000000"/>
          <w:sz w:val="24"/>
        </w:rPr>
      </w:pPr>
      <w:r>
        <w:rPr>
          <w:rFonts w:asciiTheme="majorBidi" w:hAnsiTheme="majorBidi"/>
          <w:color w:val="000000"/>
          <w:sz w:val="24"/>
        </w:rPr>
        <w:t>After</w:t>
      </w:r>
      <w:r w:rsidR="004932B4" w:rsidRPr="00294B9C">
        <w:rPr>
          <w:rFonts w:asciiTheme="majorBidi" w:hAnsiTheme="majorBidi"/>
          <w:color w:val="000000"/>
          <w:sz w:val="24"/>
        </w:rPr>
        <w:t xml:space="preserve"> select</w:t>
      </w:r>
      <w:r>
        <w:rPr>
          <w:rFonts w:asciiTheme="majorBidi" w:hAnsiTheme="majorBidi"/>
          <w:color w:val="000000"/>
          <w:sz w:val="24"/>
        </w:rPr>
        <w:t>ing</w:t>
      </w:r>
      <w:r w:rsidR="004932B4" w:rsidRPr="004C731D">
        <w:rPr>
          <w:rFonts w:asciiTheme="majorBidi" w:hAnsiTheme="majorBidi"/>
          <w:color w:val="000000"/>
          <w:sz w:val="24"/>
        </w:rPr>
        <w:t xml:space="preserve"> the specific criterion of the optimal lag selection in </w:t>
      </w:r>
      <w:r w:rsidR="00C0092B">
        <w:rPr>
          <w:rFonts w:asciiTheme="majorBidi" w:hAnsiTheme="majorBidi" w:cstheme="majorBidi"/>
          <w:color w:val="000000"/>
          <w:sz w:val="24"/>
          <w:szCs w:val="24"/>
        </w:rPr>
        <w:t>T</w:t>
      </w:r>
      <w:r w:rsidR="00C0092B" w:rsidRPr="004932B4">
        <w:rPr>
          <w:rFonts w:asciiTheme="majorBidi" w:hAnsiTheme="majorBidi" w:cstheme="majorBidi"/>
          <w:color w:val="000000"/>
          <w:sz w:val="24"/>
          <w:szCs w:val="24"/>
        </w:rPr>
        <w:t>able</w:t>
      </w:r>
      <w:r w:rsidR="00C0092B" w:rsidRPr="004C731D">
        <w:rPr>
          <w:rFonts w:asciiTheme="majorBidi" w:hAnsiTheme="majorBidi"/>
          <w:color w:val="000000"/>
          <w:sz w:val="24"/>
        </w:rPr>
        <w:t xml:space="preserve"> </w:t>
      </w:r>
      <w:r w:rsidR="005D485C">
        <w:rPr>
          <w:rFonts w:asciiTheme="majorBidi" w:hAnsiTheme="majorBidi"/>
          <w:color w:val="000000"/>
          <w:sz w:val="24"/>
        </w:rPr>
        <w:t>4</w:t>
      </w:r>
      <w:r w:rsidR="00C0092B">
        <w:rPr>
          <w:rFonts w:asciiTheme="majorBidi" w:hAnsiTheme="majorBidi" w:cstheme="majorBidi"/>
          <w:color w:val="000000"/>
          <w:sz w:val="24"/>
          <w:szCs w:val="24"/>
        </w:rPr>
        <w:t>,</w:t>
      </w:r>
      <w:r w:rsidR="004932B4" w:rsidRPr="004C731D">
        <w:rPr>
          <w:rFonts w:asciiTheme="majorBidi" w:hAnsiTheme="majorBidi"/>
          <w:color w:val="000000"/>
          <w:sz w:val="24"/>
        </w:rPr>
        <w:t xml:space="preserve"> we </w:t>
      </w:r>
      <w:r>
        <w:rPr>
          <w:rFonts w:asciiTheme="majorBidi" w:hAnsiTheme="majorBidi"/>
          <w:color w:val="000000"/>
          <w:sz w:val="24"/>
        </w:rPr>
        <w:t>could</w:t>
      </w:r>
      <w:r w:rsidRPr="004C731D">
        <w:rPr>
          <w:rFonts w:asciiTheme="majorBidi" w:hAnsiTheme="majorBidi"/>
          <w:color w:val="000000"/>
          <w:sz w:val="24"/>
        </w:rPr>
        <w:t xml:space="preserve"> </w:t>
      </w:r>
      <w:r w:rsidR="004932B4" w:rsidRPr="0016142F">
        <w:rPr>
          <w:rFonts w:asciiTheme="majorBidi" w:hAnsiTheme="majorBidi"/>
          <w:color w:val="000000"/>
          <w:sz w:val="24"/>
        </w:rPr>
        <w:t xml:space="preserve">observe the VAR model of interest on the impact on the different employment structures. Given the nature of the model and the high multicollinearity existing in it, it is not recommended to make individual inference of the estimators, but </w:t>
      </w:r>
      <w:r w:rsidR="004932B4" w:rsidRPr="004C731D">
        <w:rPr>
          <w:rFonts w:asciiTheme="majorBidi" w:hAnsiTheme="majorBidi"/>
          <w:color w:val="000000"/>
          <w:sz w:val="24"/>
        </w:rPr>
        <w:t>we can focus on the effects on the dependent variables of inte</w:t>
      </w:r>
      <w:r w:rsidR="004932B4" w:rsidRPr="0016142F">
        <w:rPr>
          <w:rFonts w:asciiTheme="majorBidi" w:hAnsiTheme="majorBidi"/>
          <w:color w:val="000000"/>
          <w:sz w:val="24"/>
        </w:rPr>
        <w:t xml:space="preserve">rest of each of the equations </w:t>
      </w:r>
      <w:r>
        <w:rPr>
          <w:rFonts w:asciiTheme="majorBidi" w:hAnsiTheme="majorBidi"/>
          <w:color w:val="000000"/>
          <w:sz w:val="24"/>
        </w:rPr>
        <w:t>because</w:t>
      </w:r>
      <w:r w:rsidRPr="004C731D">
        <w:rPr>
          <w:rFonts w:asciiTheme="majorBidi" w:hAnsiTheme="majorBidi"/>
          <w:color w:val="000000"/>
          <w:sz w:val="24"/>
        </w:rPr>
        <w:t xml:space="preserve"> </w:t>
      </w:r>
      <w:r w:rsidR="004932B4" w:rsidRPr="0016142F">
        <w:rPr>
          <w:rFonts w:asciiTheme="majorBidi" w:hAnsiTheme="majorBidi"/>
          <w:color w:val="000000"/>
          <w:sz w:val="24"/>
        </w:rPr>
        <w:t>it will serve as a support to understand the dynamics in employment at the time of introducing the impact of COVID-19.</w:t>
      </w:r>
    </w:p>
    <w:p w14:paraId="18860D79" w14:textId="77777777" w:rsidR="00A8001F" w:rsidRPr="00666047" w:rsidRDefault="00A8001F" w:rsidP="00DC6EDA">
      <w:pPr>
        <w:spacing w:after="0" w:line="240" w:lineRule="auto"/>
        <w:jc w:val="both"/>
        <w:rPr>
          <w:rFonts w:asciiTheme="majorBidi" w:hAnsiTheme="majorBidi"/>
          <w:color w:val="000000"/>
          <w:sz w:val="24"/>
        </w:rPr>
      </w:pPr>
    </w:p>
    <w:p w14:paraId="73347133" w14:textId="33F29258" w:rsidR="004932B4" w:rsidRPr="00666047" w:rsidRDefault="00732607" w:rsidP="00597BF1">
      <w:pPr>
        <w:spacing w:after="0" w:line="240" w:lineRule="auto"/>
        <w:jc w:val="both"/>
        <w:rPr>
          <w:rFonts w:asciiTheme="majorBidi" w:hAnsiTheme="majorBidi"/>
          <w:color w:val="000000"/>
          <w:sz w:val="24"/>
        </w:rPr>
      </w:pPr>
      <w:r>
        <w:rPr>
          <w:rFonts w:asciiTheme="majorBidi" w:hAnsiTheme="majorBidi" w:cstheme="majorBidi"/>
          <w:color w:val="000000"/>
          <w:sz w:val="24"/>
          <w:szCs w:val="24"/>
        </w:rPr>
        <w:t>We present the</w:t>
      </w:r>
      <w:r w:rsidRPr="004C731D">
        <w:rPr>
          <w:rFonts w:asciiTheme="majorBidi" w:hAnsiTheme="majorBidi"/>
          <w:color w:val="000000"/>
          <w:sz w:val="24"/>
        </w:rPr>
        <w:t xml:space="preserve"> </w:t>
      </w:r>
      <w:r w:rsidR="004932B4" w:rsidRPr="0016142F">
        <w:rPr>
          <w:rFonts w:asciiTheme="majorBidi" w:hAnsiTheme="majorBidi"/>
          <w:color w:val="000000"/>
          <w:sz w:val="24"/>
        </w:rPr>
        <w:t>VAR equations</w:t>
      </w:r>
      <w:r w:rsidR="004932B4" w:rsidRPr="004C731D">
        <w:rPr>
          <w:rFonts w:asciiTheme="majorBidi" w:hAnsiTheme="majorBidi"/>
          <w:color w:val="000000"/>
          <w:sz w:val="24"/>
        </w:rPr>
        <w:t xml:space="preserve"> in the order presented above. From the approach of this model, it is po</w:t>
      </w:r>
      <w:r w:rsidR="004932B4" w:rsidRPr="0016142F">
        <w:rPr>
          <w:rFonts w:asciiTheme="majorBidi" w:hAnsiTheme="majorBidi"/>
          <w:color w:val="000000"/>
          <w:sz w:val="24"/>
        </w:rPr>
        <w:t>ssible to observe the importance of the division of employment by structure and gender</w:t>
      </w:r>
      <w:r w:rsidR="00597BF1">
        <w:rPr>
          <w:rFonts w:asciiTheme="majorBidi" w:hAnsiTheme="majorBidi"/>
          <w:color w:val="000000"/>
          <w:sz w:val="24"/>
        </w:rPr>
        <w:t xml:space="preserve"> because</w:t>
      </w:r>
      <w:r w:rsidR="004932B4" w:rsidRPr="004C731D">
        <w:rPr>
          <w:rFonts w:asciiTheme="majorBidi" w:hAnsiTheme="majorBidi"/>
          <w:color w:val="000000"/>
          <w:sz w:val="24"/>
        </w:rPr>
        <w:t xml:space="preserve"> there are differentiated effects between formal and informal employment and</w:t>
      </w:r>
      <w:r w:rsidR="004932B4" w:rsidRPr="00666047">
        <w:rPr>
          <w:rFonts w:asciiTheme="majorBidi" w:hAnsiTheme="majorBidi"/>
          <w:color w:val="000000"/>
          <w:sz w:val="24"/>
        </w:rPr>
        <w:t xml:space="preserve"> differences between genders.</w:t>
      </w:r>
    </w:p>
    <w:p w14:paraId="7582E196" w14:textId="77777777" w:rsidR="00A8001F" w:rsidRPr="00666047" w:rsidRDefault="00A8001F" w:rsidP="00DC6EDA">
      <w:pPr>
        <w:spacing w:after="0" w:line="240" w:lineRule="auto"/>
        <w:jc w:val="both"/>
        <w:rPr>
          <w:rFonts w:asciiTheme="majorBidi" w:hAnsiTheme="majorBidi"/>
          <w:color w:val="000000"/>
          <w:sz w:val="24"/>
        </w:rPr>
      </w:pPr>
    </w:p>
    <w:p w14:paraId="52DDF46A" w14:textId="7608B153" w:rsidR="004932B4" w:rsidRPr="00666047" w:rsidRDefault="004932B4" w:rsidP="00597BF1">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w:t>
      </w:r>
      <w:r w:rsidR="00120FAC">
        <w:rPr>
          <w:rFonts w:asciiTheme="majorBidi" w:hAnsiTheme="majorBidi" w:cstheme="majorBidi"/>
          <w:color w:val="000000"/>
          <w:sz w:val="24"/>
          <w:szCs w:val="24"/>
        </w:rPr>
        <w:t>T</w:t>
      </w:r>
      <w:r w:rsidRPr="004932B4">
        <w:rPr>
          <w:rFonts w:asciiTheme="majorBidi" w:hAnsiTheme="majorBidi" w:cstheme="majorBidi"/>
          <w:color w:val="000000"/>
          <w:sz w:val="24"/>
          <w:szCs w:val="24"/>
        </w:rPr>
        <w:t>able</w:t>
      </w:r>
      <w:r w:rsidRPr="004C731D">
        <w:rPr>
          <w:rFonts w:asciiTheme="majorBidi" w:hAnsiTheme="majorBidi"/>
          <w:color w:val="000000"/>
          <w:sz w:val="24"/>
        </w:rPr>
        <w:t xml:space="preserve"> </w:t>
      </w:r>
      <w:r w:rsidR="0060243D" w:rsidRPr="0016142F">
        <w:rPr>
          <w:rFonts w:asciiTheme="majorBidi" w:hAnsiTheme="majorBidi"/>
          <w:color w:val="000000"/>
          <w:sz w:val="24"/>
        </w:rPr>
        <w:t>4</w:t>
      </w:r>
      <w:r w:rsidR="00120FAC">
        <w:rPr>
          <w:rFonts w:asciiTheme="majorBidi" w:hAnsiTheme="majorBidi" w:cstheme="majorBidi"/>
          <w:color w:val="000000"/>
          <w:sz w:val="24"/>
          <w:szCs w:val="24"/>
        </w:rPr>
        <w:t>,</w:t>
      </w:r>
      <w:r w:rsidRPr="004C731D">
        <w:rPr>
          <w:rFonts w:asciiTheme="majorBidi" w:hAnsiTheme="majorBidi"/>
          <w:color w:val="000000"/>
          <w:sz w:val="24"/>
        </w:rPr>
        <w:t xml:space="preserve"> the second and fourth columns pertain to the</w:t>
      </w:r>
      <w:r w:rsidRPr="0016142F">
        <w:rPr>
          <w:rFonts w:asciiTheme="majorBidi" w:hAnsiTheme="majorBidi"/>
          <w:color w:val="000000"/>
          <w:sz w:val="24"/>
        </w:rPr>
        <w:t xml:space="preserve"> estimated equation for</w:t>
      </w:r>
      <w:r w:rsidR="00987150" w:rsidRPr="0016142F">
        <w:rPr>
          <w:rFonts w:asciiTheme="majorBidi" w:hAnsiTheme="majorBidi"/>
          <w:color w:val="000000"/>
          <w:sz w:val="24"/>
        </w:rPr>
        <w:t xml:space="preserve"> </w:t>
      </w:r>
      <w:r w:rsidR="00987150">
        <w:rPr>
          <w:rFonts w:asciiTheme="majorBidi" w:hAnsiTheme="majorBidi" w:cstheme="majorBidi"/>
          <w:color w:val="000000"/>
          <w:sz w:val="24"/>
          <w:szCs w:val="24"/>
        </w:rPr>
        <w:t>the</w:t>
      </w:r>
      <w:r w:rsidRPr="004932B4">
        <w:rPr>
          <w:rFonts w:asciiTheme="majorBidi" w:hAnsiTheme="majorBidi" w:cstheme="majorBidi"/>
          <w:color w:val="000000"/>
          <w:sz w:val="24"/>
          <w:szCs w:val="24"/>
        </w:rPr>
        <w:t xml:space="preserve"> </w:t>
      </w:r>
      <w:r w:rsidRPr="004C731D">
        <w:rPr>
          <w:rFonts w:asciiTheme="majorBidi" w:hAnsiTheme="majorBidi"/>
          <w:color w:val="000000"/>
          <w:sz w:val="24"/>
        </w:rPr>
        <w:t xml:space="preserve">formal employment of men and women, </w:t>
      </w:r>
      <w:r w:rsidR="00987150">
        <w:rPr>
          <w:rFonts w:asciiTheme="majorBidi" w:hAnsiTheme="majorBidi" w:cstheme="majorBidi"/>
          <w:color w:val="000000"/>
          <w:sz w:val="24"/>
          <w:szCs w:val="24"/>
        </w:rPr>
        <w:t>and we</w:t>
      </w:r>
      <w:r w:rsidR="00987150" w:rsidRPr="004C731D">
        <w:rPr>
          <w:rFonts w:asciiTheme="majorBidi" w:hAnsiTheme="majorBidi"/>
          <w:color w:val="000000"/>
          <w:sz w:val="24"/>
        </w:rPr>
        <w:t xml:space="preserve"> observe</w:t>
      </w:r>
      <w:r w:rsidR="00597BF1" w:rsidRPr="0016142F">
        <w:rPr>
          <w:rFonts w:asciiTheme="majorBidi" w:hAnsiTheme="majorBidi"/>
          <w:color w:val="000000"/>
          <w:sz w:val="24"/>
        </w:rPr>
        <w:t>d</w:t>
      </w:r>
      <w:r w:rsidRPr="0016142F">
        <w:rPr>
          <w:rFonts w:asciiTheme="majorBidi" w:hAnsiTheme="majorBidi"/>
          <w:color w:val="000000"/>
          <w:sz w:val="24"/>
        </w:rPr>
        <w:t xml:space="preserve"> that both genders react to changes in the economy. Particularly for women, employment is more dynamic and interdependent to the different employment structures. </w:t>
      </w:r>
      <w:r w:rsidR="005E44DB">
        <w:rPr>
          <w:rFonts w:asciiTheme="majorBidi" w:hAnsiTheme="majorBidi" w:cstheme="majorBidi"/>
          <w:color w:val="000000"/>
          <w:sz w:val="24"/>
          <w:szCs w:val="24"/>
        </w:rPr>
        <w:t>In addition</w:t>
      </w:r>
      <w:r w:rsidRPr="004C731D">
        <w:rPr>
          <w:rFonts w:asciiTheme="majorBidi" w:hAnsiTheme="majorBidi"/>
          <w:color w:val="000000"/>
          <w:sz w:val="24"/>
        </w:rPr>
        <w:t>, the</w:t>
      </w:r>
      <w:r w:rsidRPr="0016142F">
        <w:rPr>
          <w:rFonts w:asciiTheme="majorBidi" w:hAnsiTheme="majorBidi"/>
          <w:color w:val="000000"/>
          <w:sz w:val="24"/>
        </w:rPr>
        <w:t>re is a certain complementarity with men's employment (formal and informal);</w:t>
      </w:r>
      <w:r w:rsidR="005E44DB" w:rsidRPr="00666047">
        <w:rPr>
          <w:rFonts w:asciiTheme="majorBidi" w:hAnsiTheme="majorBidi"/>
          <w:color w:val="000000"/>
          <w:sz w:val="24"/>
        </w:rPr>
        <w:t xml:space="preserve"> </w:t>
      </w:r>
      <w:r w:rsidRPr="00666047">
        <w:rPr>
          <w:rFonts w:asciiTheme="majorBidi" w:hAnsiTheme="majorBidi"/>
          <w:color w:val="000000"/>
          <w:sz w:val="24"/>
        </w:rPr>
        <w:t xml:space="preserve">this effect could be contrary to what is expected in </w:t>
      </w:r>
      <w:r w:rsidR="002A0588">
        <w:rPr>
          <w:rFonts w:asciiTheme="majorBidi" w:hAnsiTheme="majorBidi"/>
          <w:color w:val="000000"/>
          <w:sz w:val="24"/>
        </w:rPr>
        <w:t>specific</w:t>
      </w:r>
      <w:r w:rsidRPr="00666047">
        <w:rPr>
          <w:rFonts w:asciiTheme="majorBidi" w:hAnsiTheme="majorBidi"/>
          <w:color w:val="000000"/>
          <w:sz w:val="24"/>
        </w:rPr>
        <w:t xml:space="preserve"> gender employment literature (Humphries, 1998) in which female employment has a substitution effect </w:t>
      </w:r>
      <w:r w:rsidR="006116C5">
        <w:rPr>
          <w:rFonts w:asciiTheme="majorBidi" w:hAnsiTheme="majorBidi" w:cstheme="majorBidi"/>
          <w:color w:val="000000"/>
          <w:sz w:val="24"/>
          <w:szCs w:val="24"/>
        </w:rPr>
        <w:t>on</w:t>
      </w:r>
      <w:r w:rsidR="006116C5" w:rsidRPr="004C731D">
        <w:rPr>
          <w:rFonts w:asciiTheme="majorBidi" w:hAnsiTheme="majorBidi"/>
          <w:color w:val="000000"/>
          <w:sz w:val="24"/>
        </w:rPr>
        <w:t xml:space="preserve"> </w:t>
      </w:r>
      <w:r w:rsidRPr="0016142F">
        <w:rPr>
          <w:rFonts w:asciiTheme="majorBidi" w:hAnsiTheme="majorBidi"/>
          <w:color w:val="000000"/>
          <w:sz w:val="24"/>
        </w:rPr>
        <w:t>male employment</w:t>
      </w:r>
      <w:r w:rsidR="005E44DB">
        <w:rPr>
          <w:rFonts w:asciiTheme="majorBidi" w:hAnsiTheme="majorBidi" w:cstheme="majorBidi"/>
          <w:color w:val="000000"/>
          <w:sz w:val="24"/>
          <w:szCs w:val="24"/>
        </w:rPr>
        <w:t>. On</w:t>
      </w:r>
      <w:r w:rsidRPr="004C731D">
        <w:rPr>
          <w:rFonts w:asciiTheme="majorBidi" w:hAnsiTheme="majorBidi"/>
          <w:color w:val="000000"/>
          <w:sz w:val="24"/>
        </w:rPr>
        <w:t xml:space="preserve"> the other hand, </w:t>
      </w:r>
      <w:r w:rsidR="00597BF1">
        <w:rPr>
          <w:rFonts w:asciiTheme="majorBidi" w:hAnsiTheme="majorBidi"/>
          <w:color w:val="000000"/>
          <w:sz w:val="24"/>
        </w:rPr>
        <w:t>some</w:t>
      </w:r>
      <w:r w:rsidRPr="004C731D">
        <w:rPr>
          <w:rFonts w:asciiTheme="majorBidi" w:hAnsiTheme="majorBidi"/>
          <w:color w:val="000000"/>
          <w:sz w:val="24"/>
        </w:rPr>
        <w:t xml:space="preserve"> literature on human capital </w:t>
      </w:r>
      <w:r w:rsidR="00597BF1">
        <w:rPr>
          <w:rFonts w:asciiTheme="majorBidi" w:hAnsiTheme="majorBidi" w:cstheme="majorBidi"/>
          <w:color w:val="000000"/>
          <w:sz w:val="24"/>
          <w:szCs w:val="24"/>
        </w:rPr>
        <w:t>has</w:t>
      </w:r>
      <w:r w:rsidR="00597BF1" w:rsidRPr="00A46182">
        <w:rPr>
          <w:rFonts w:asciiTheme="majorBidi" w:hAnsiTheme="majorBidi"/>
          <w:color w:val="000000"/>
          <w:sz w:val="24"/>
        </w:rPr>
        <w:t xml:space="preserve"> support</w:t>
      </w:r>
      <w:r w:rsidR="00597BF1">
        <w:rPr>
          <w:rFonts w:asciiTheme="majorBidi" w:hAnsiTheme="majorBidi"/>
          <w:color w:val="000000"/>
          <w:sz w:val="24"/>
        </w:rPr>
        <w:t>ed</w:t>
      </w:r>
      <w:r w:rsidR="00597BF1" w:rsidRPr="004C731D">
        <w:rPr>
          <w:rFonts w:asciiTheme="majorBidi" w:hAnsiTheme="majorBidi"/>
          <w:color w:val="000000"/>
          <w:sz w:val="24"/>
        </w:rPr>
        <w:t xml:space="preserve"> </w:t>
      </w:r>
      <w:r w:rsidRPr="0016142F">
        <w:rPr>
          <w:rFonts w:asciiTheme="majorBidi" w:hAnsiTheme="majorBidi"/>
          <w:color w:val="000000"/>
          <w:sz w:val="24"/>
        </w:rPr>
        <w:t>the effect of complementarity in employment</w:t>
      </w:r>
      <w:r w:rsidRPr="004C731D">
        <w:rPr>
          <w:rFonts w:asciiTheme="majorBidi" w:hAnsiTheme="majorBidi"/>
          <w:color w:val="000000"/>
          <w:sz w:val="24"/>
        </w:rPr>
        <w:t xml:space="preserve"> given that men and women build a structure in the household where both complement each other, and that is why the expected effect is positiv</w:t>
      </w:r>
      <w:r w:rsidRPr="0016142F">
        <w:rPr>
          <w:rFonts w:asciiTheme="majorBidi" w:hAnsiTheme="majorBidi"/>
          <w:color w:val="000000"/>
          <w:sz w:val="24"/>
        </w:rPr>
        <w:t xml:space="preserve">e (Becker, 1985). Finally, </w:t>
      </w:r>
      <w:r w:rsidRPr="004C731D">
        <w:rPr>
          <w:rFonts w:asciiTheme="majorBidi" w:hAnsiTheme="majorBidi"/>
          <w:color w:val="000000"/>
          <w:sz w:val="24"/>
        </w:rPr>
        <w:t xml:space="preserve">there is a dynamic </w:t>
      </w:r>
      <w:r w:rsidR="00E3121F" w:rsidRPr="004932B4">
        <w:rPr>
          <w:rFonts w:asciiTheme="majorBidi" w:hAnsiTheme="majorBidi" w:cstheme="majorBidi"/>
          <w:color w:val="000000"/>
          <w:sz w:val="24"/>
          <w:szCs w:val="24"/>
        </w:rPr>
        <w:t xml:space="preserve">for women </w:t>
      </w:r>
      <w:r w:rsidRPr="004C731D">
        <w:rPr>
          <w:rFonts w:asciiTheme="majorBidi" w:hAnsiTheme="majorBidi"/>
          <w:color w:val="000000"/>
          <w:sz w:val="24"/>
        </w:rPr>
        <w:t>and persistent adjustment in their long-term equilibrium</w:t>
      </w:r>
      <w:r w:rsidR="00E3121F">
        <w:rPr>
          <w:rFonts w:asciiTheme="majorBidi" w:hAnsiTheme="majorBidi" w:cstheme="majorBidi"/>
          <w:color w:val="000000"/>
          <w:sz w:val="24"/>
          <w:szCs w:val="24"/>
        </w:rPr>
        <w:t xml:space="preserve"> (</w:t>
      </w:r>
      <w:r w:rsidRPr="004C731D">
        <w:rPr>
          <w:rFonts w:asciiTheme="majorBidi" w:hAnsiTheme="majorBidi"/>
          <w:color w:val="000000"/>
          <w:sz w:val="24"/>
        </w:rPr>
        <w:t>i.e., the behavior of formal employment adjusts to the same dynamics</w:t>
      </w:r>
      <w:r w:rsidR="00E3121F">
        <w:rPr>
          <w:rFonts w:asciiTheme="majorBidi" w:hAnsiTheme="majorBidi" w:cstheme="majorBidi"/>
          <w:color w:val="000000"/>
          <w:sz w:val="24"/>
          <w:szCs w:val="24"/>
        </w:rPr>
        <w:t>)</w:t>
      </w:r>
      <w:r w:rsidRPr="004932B4">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In contrast, men only show complementarity with informal employment.</w:t>
      </w:r>
    </w:p>
    <w:p w14:paraId="7E0F1918" w14:textId="77777777" w:rsidR="00A8001F" w:rsidRPr="00666047" w:rsidRDefault="00A8001F" w:rsidP="00DC6EDA">
      <w:pPr>
        <w:spacing w:after="0" w:line="240" w:lineRule="auto"/>
        <w:jc w:val="both"/>
        <w:rPr>
          <w:rFonts w:asciiTheme="majorBidi" w:hAnsiTheme="majorBidi"/>
          <w:color w:val="000000"/>
          <w:sz w:val="24"/>
        </w:rPr>
      </w:pPr>
    </w:p>
    <w:p w14:paraId="238A5880" w14:textId="021504E5" w:rsidR="004932B4" w:rsidRDefault="004932B4" w:rsidP="00C33673">
      <w:pPr>
        <w:spacing w:after="0" w:line="240" w:lineRule="auto"/>
        <w:jc w:val="both"/>
        <w:rPr>
          <w:rFonts w:asciiTheme="majorBidi" w:hAnsiTheme="majorBidi"/>
          <w:color w:val="000000"/>
          <w:sz w:val="24"/>
        </w:rPr>
      </w:pPr>
      <w:r w:rsidRPr="00666047">
        <w:rPr>
          <w:rFonts w:asciiTheme="majorBidi" w:hAnsiTheme="majorBidi"/>
          <w:color w:val="000000"/>
          <w:sz w:val="24"/>
        </w:rPr>
        <w:t>As for informal employment, its behavior does not react to economic changes</w:t>
      </w:r>
      <w:r w:rsidR="00E3121F">
        <w:rPr>
          <w:rFonts w:asciiTheme="majorBidi" w:hAnsiTheme="majorBidi" w:cstheme="majorBidi"/>
          <w:color w:val="000000"/>
          <w:sz w:val="24"/>
          <w:szCs w:val="24"/>
        </w:rPr>
        <w:t>. T</w:t>
      </w:r>
      <w:r w:rsidRPr="004932B4">
        <w:rPr>
          <w:rFonts w:asciiTheme="majorBidi" w:hAnsiTheme="majorBidi" w:cstheme="majorBidi"/>
          <w:color w:val="000000"/>
          <w:sz w:val="24"/>
          <w:szCs w:val="24"/>
        </w:rPr>
        <w:t>his</w:t>
      </w:r>
      <w:r w:rsidRPr="004C731D">
        <w:rPr>
          <w:rFonts w:asciiTheme="majorBidi" w:hAnsiTheme="majorBidi"/>
          <w:color w:val="000000"/>
          <w:sz w:val="24"/>
        </w:rPr>
        <w:t xml:space="preserve"> is true for both genders. </w:t>
      </w:r>
      <w:r w:rsidR="001D5DD6" w:rsidRPr="0016142F">
        <w:rPr>
          <w:rFonts w:asciiTheme="majorBidi" w:hAnsiTheme="majorBidi"/>
          <w:color w:val="000000"/>
          <w:sz w:val="24"/>
        </w:rPr>
        <w:t xml:space="preserve">In other words, </w:t>
      </w:r>
      <w:r w:rsidR="00CB48D2" w:rsidRPr="004C731D">
        <w:rPr>
          <w:rFonts w:asciiTheme="majorBidi" w:hAnsiTheme="majorBidi"/>
          <w:color w:val="000000"/>
          <w:sz w:val="24"/>
        </w:rPr>
        <w:t>evidence on th</w:t>
      </w:r>
      <w:r w:rsidR="001D5DD6" w:rsidRPr="0016142F">
        <w:rPr>
          <w:rFonts w:asciiTheme="majorBidi" w:hAnsiTheme="majorBidi"/>
          <w:color w:val="000000"/>
          <w:sz w:val="24"/>
        </w:rPr>
        <w:t xml:space="preserve">is segment of the market </w:t>
      </w:r>
      <w:r w:rsidR="00CB48D2" w:rsidRPr="0016142F">
        <w:rPr>
          <w:rFonts w:asciiTheme="majorBidi" w:hAnsiTheme="majorBidi"/>
          <w:color w:val="000000"/>
          <w:sz w:val="24"/>
        </w:rPr>
        <w:t>suggest</w:t>
      </w:r>
      <w:r w:rsidR="00757705" w:rsidRPr="0016142F">
        <w:rPr>
          <w:rFonts w:asciiTheme="majorBidi" w:hAnsiTheme="majorBidi"/>
          <w:color w:val="000000"/>
          <w:sz w:val="24"/>
        </w:rPr>
        <w:t>s</w:t>
      </w:r>
      <w:r w:rsidR="00CB48D2" w:rsidRPr="008E7169">
        <w:rPr>
          <w:rFonts w:asciiTheme="majorBidi" w:hAnsiTheme="majorBidi"/>
          <w:color w:val="000000"/>
          <w:sz w:val="24"/>
        </w:rPr>
        <w:t xml:space="preserve"> </w:t>
      </w:r>
      <w:r w:rsidR="00A12478">
        <w:rPr>
          <w:rFonts w:asciiTheme="majorBidi" w:hAnsiTheme="majorBidi"/>
          <w:color w:val="000000"/>
          <w:sz w:val="24"/>
        </w:rPr>
        <w:t>it is</w:t>
      </w:r>
      <w:r w:rsidR="00A12478" w:rsidRPr="004C731D">
        <w:rPr>
          <w:rFonts w:asciiTheme="majorBidi" w:hAnsiTheme="majorBidi"/>
          <w:color w:val="000000"/>
          <w:sz w:val="24"/>
        </w:rPr>
        <w:t xml:space="preserve"> </w:t>
      </w:r>
      <w:r w:rsidR="00E97352" w:rsidRPr="00666047">
        <w:rPr>
          <w:rFonts w:asciiTheme="majorBidi" w:hAnsiTheme="majorBidi"/>
          <w:color w:val="000000"/>
          <w:sz w:val="24"/>
        </w:rPr>
        <w:t>relatively</w:t>
      </w:r>
      <w:r w:rsidRPr="00666047">
        <w:rPr>
          <w:rFonts w:asciiTheme="majorBidi" w:hAnsiTheme="majorBidi"/>
          <w:color w:val="000000"/>
          <w:sz w:val="24"/>
        </w:rPr>
        <w:t xml:space="preserve"> inelastic to economic changes.</w:t>
      </w:r>
    </w:p>
    <w:p w14:paraId="7B696CFA" w14:textId="16869DF9" w:rsidR="00613E23" w:rsidRDefault="00613E23" w:rsidP="00C33673">
      <w:pPr>
        <w:spacing w:after="0" w:line="240" w:lineRule="auto"/>
        <w:jc w:val="both"/>
        <w:rPr>
          <w:rFonts w:asciiTheme="majorBidi" w:hAnsiTheme="majorBidi"/>
          <w:color w:val="000000"/>
          <w:sz w:val="24"/>
        </w:rPr>
      </w:pPr>
    </w:p>
    <w:p w14:paraId="45671A45" w14:textId="1F67A77A" w:rsidR="00613E23" w:rsidRDefault="00613E23" w:rsidP="00C33673">
      <w:pPr>
        <w:spacing w:after="0" w:line="240" w:lineRule="auto"/>
        <w:jc w:val="both"/>
        <w:rPr>
          <w:rFonts w:asciiTheme="majorBidi" w:hAnsiTheme="majorBidi"/>
          <w:color w:val="000000"/>
          <w:sz w:val="24"/>
        </w:rPr>
      </w:pPr>
    </w:p>
    <w:p w14:paraId="6690C810" w14:textId="5B57F85C" w:rsidR="00613E23" w:rsidRDefault="00613E23" w:rsidP="00C33673">
      <w:pPr>
        <w:spacing w:after="0" w:line="240" w:lineRule="auto"/>
        <w:jc w:val="both"/>
        <w:rPr>
          <w:rFonts w:asciiTheme="majorBidi" w:hAnsiTheme="majorBidi"/>
          <w:color w:val="000000"/>
          <w:sz w:val="24"/>
        </w:rPr>
      </w:pPr>
    </w:p>
    <w:p w14:paraId="58DFC680" w14:textId="77777777" w:rsidR="00613E23" w:rsidRDefault="00613E23" w:rsidP="00C33673">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13E23" w14:paraId="6D878980" w14:textId="77777777" w:rsidTr="00613E23">
        <w:tc>
          <w:tcPr>
            <w:tcW w:w="8828" w:type="dxa"/>
          </w:tcPr>
          <w:p w14:paraId="0F8B494B" w14:textId="3749041F" w:rsidR="00613E23" w:rsidRPr="00DB7DBB" w:rsidRDefault="00613E23" w:rsidP="00DC6EDA">
            <w:pPr>
              <w:jc w:val="both"/>
              <w:rPr>
                <w:rFonts w:asciiTheme="majorBidi" w:hAnsiTheme="majorBidi"/>
                <w:b/>
                <w:bCs/>
                <w:color w:val="000000"/>
                <w:sz w:val="20"/>
                <w:szCs w:val="18"/>
              </w:rPr>
            </w:pPr>
            <w:r w:rsidRPr="00DB7DBB">
              <w:rPr>
                <w:rFonts w:asciiTheme="majorBidi" w:hAnsiTheme="majorBidi"/>
                <w:b/>
                <w:bCs/>
                <w:color w:val="000000"/>
                <w:sz w:val="20"/>
                <w:szCs w:val="18"/>
              </w:rPr>
              <w:lastRenderedPageBreak/>
              <w:t xml:space="preserve">Table 4. VAR model: structure and dynamic on </w:t>
            </w:r>
            <w:r w:rsidR="00317BF0">
              <w:rPr>
                <w:rFonts w:asciiTheme="majorBidi" w:hAnsiTheme="majorBidi"/>
                <w:b/>
                <w:bCs/>
                <w:color w:val="000000"/>
                <w:sz w:val="20"/>
                <w:szCs w:val="18"/>
              </w:rPr>
              <w:t xml:space="preserve">the </w:t>
            </w:r>
            <w:r w:rsidRPr="00DB7DBB">
              <w:rPr>
                <w:rFonts w:asciiTheme="majorBidi" w:hAnsiTheme="majorBidi"/>
                <w:b/>
                <w:bCs/>
                <w:color w:val="000000"/>
                <w:sz w:val="20"/>
                <w:szCs w:val="18"/>
              </w:rPr>
              <w:t>Mexican labor market</w:t>
            </w:r>
          </w:p>
        </w:tc>
      </w:tr>
      <w:tr w:rsidR="00613E23" w14:paraId="01BDC36B" w14:textId="77777777" w:rsidTr="00613E23">
        <w:tc>
          <w:tcPr>
            <w:tcW w:w="8828" w:type="dxa"/>
          </w:tcPr>
          <w:tbl>
            <w:tblPr>
              <w:tblW w:w="7500" w:type="dxa"/>
              <w:jc w:val="center"/>
              <w:tblCellMar>
                <w:left w:w="70" w:type="dxa"/>
                <w:right w:w="70" w:type="dxa"/>
              </w:tblCellMar>
              <w:tblLook w:val="04A0" w:firstRow="1" w:lastRow="0" w:firstColumn="1" w:lastColumn="0" w:noHBand="0" w:noVBand="1"/>
            </w:tblPr>
            <w:tblGrid>
              <w:gridCol w:w="1196"/>
              <w:gridCol w:w="954"/>
              <w:gridCol w:w="557"/>
              <w:gridCol w:w="1034"/>
              <w:gridCol w:w="535"/>
              <w:gridCol w:w="1054"/>
              <w:gridCol w:w="535"/>
              <w:gridCol w:w="1195"/>
              <w:gridCol w:w="440"/>
            </w:tblGrid>
            <w:tr w:rsidR="00613E23" w:rsidRPr="00613E23" w14:paraId="3295CFA6" w14:textId="77777777" w:rsidTr="00613E23">
              <w:trPr>
                <w:trHeight w:val="310"/>
                <w:jc w:val="center"/>
              </w:trPr>
              <w:tc>
                <w:tcPr>
                  <w:tcW w:w="1200" w:type="dxa"/>
                  <w:tcBorders>
                    <w:top w:val="nil"/>
                    <w:left w:val="nil"/>
                    <w:bottom w:val="double" w:sz="6" w:space="0" w:color="auto"/>
                    <w:right w:val="nil"/>
                  </w:tcBorders>
                  <w:shd w:val="clear" w:color="auto" w:fill="auto"/>
                  <w:vAlign w:val="center"/>
                  <w:hideMark/>
                </w:tcPr>
                <w:p w14:paraId="4314CF0B" w14:textId="77777777" w:rsidR="00613E23" w:rsidRPr="000A2D40" w:rsidRDefault="00613E23" w:rsidP="00613E23">
                  <w:pPr>
                    <w:spacing w:after="0" w:line="240" w:lineRule="auto"/>
                    <w:jc w:val="center"/>
                    <w:rPr>
                      <w:rFonts w:ascii="Times New Roman" w:eastAsia="Times New Roman" w:hAnsi="Times New Roman" w:cs="Times New Roman"/>
                      <w:color w:val="000000"/>
                      <w:sz w:val="20"/>
                      <w:szCs w:val="20"/>
                      <w:lang w:eastAsia="es-MX"/>
                    </w:rPr>
                  </w:pPr>
                  <w:r w:rsidRPr="000A2D40">
                    <w:rPr>
                      <w:rFonts w:ascii="Times New Roman" w:eastAsia="Times New Roman" w:hAnsi="Times New Roman" w:cs="Times New Roman"/>
                      <w:color w:val="000000"/>
                      <w:sz w:val="20"/>
                      <w:szCs w:val="20"/>
                      <w:lang w:eastAsia="es-MX"/>
                    </w:rPr>
                    <w:t> </w:t>
                  </w:r>
                </w:p>
              </w:tc>
              <w:tc>
                <w:tcPr>
                  <w:tcW w:w="3100" w:type="dxa"/>
                  <w:gridSpan w:val="4"/>
                  <w:tcBorders>
                    <w:top w:val="double" w:sz="6" w:space="0" w:color="auto"/>
                    <w:left w:val="nil"/>
                    <w:bottom w:val="double" w:sz="6" w:space="0" w:color="auto"/>
                    <w:right w:val="nil"/>
                  </w:tcBorders>
                  <w:shd w:val="clear" w:color="auto" w:fill="auto"/>
                  <w:vAlign w:val="center"/>
                  <w:hideMark/>
                </w:tcPr>
                <w:p w14:paraId="1057B66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Men</w:t>
                  </w:r>
                </w:p>
              </w:tc>
              <w:tc>
                <w:tcPr>
                  <w:tcW w:w="3200" w:type="dxa"/>
                  <w:gridSpan w:val="4"/>
                  <w:tcBorders>
                    <w:top w:val="double" w:sz="6" w:space="0" w:color="auto"/>
                    <w:left w:val="nil"/>
                    <w:bottom w:val="double" w:sz="6" w:space="0" w:color="auto"/>
                    <w:right w:val="nil"/>
                  </w:tcBorders>
                  <w:shd w:val="clear" w:color="auto" w:fill="auto"/>
                  <w:vAlign w:val="center"/>
                  <w:hideMark/>
                </w:tcPr>
                <w:p w14:paraId="0FFE8736"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Women</w:t>
                  </w:r>
                </w:p>
              </w:tc>
            </w:tr>
            <w:tr w:rsidR="00613E23" w:rsidRPr="00613E23" w14:paraId="5BE7E34E" w14:textId="77777777" w:rsidTr="00613E23">
              <w:trPr>
                <w:trHeight w:val="550"/>
                <w:jc w:val="center"/>
              </w:trPr>
              <w:tc>
                <w:tcPr>
                  <w:tcW w:w="1200" w:type="dxa"/>
                  <w:tcBorders>
                    <w:top w:val="nil"/>
                    <w:left w:val="nil"/>
                    <w:bottom w:val="double" w:sz="6" w:space="0" w:color="auto"/>
                    <w:right w:val="nil"/>
                  </w:tcBorders>
                  <w:shd w:val="clear" w:color="auto" w:fill="auto"/>
                  <w:vAlign w:val="center"/>
                  <w:hideMark/>
                </w:tcPr>
                <w:p w14:paraId="384BF383"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Variable</w:t>
                  </w:r>
                </w:p>
              </w:tc>
              <w:tc>
                <w:tcPr>
                  <w:tcW w:w="1520" w:type="dxa"/>
                  <w:gridSpan w:val="2"/>
                  <w:tcBorders>
                    <w:top w:val="double" w:sz="6" w:space="0" w:color="auto"/>
                    <w:left w:val="nil"/>
                    <w:bottom w:val="double" w:sz="6" w:space="0" w:color="auto"/>
                    <w:right w:val="nil"/>
                  </w:tcBorders>
                  <w:shd w:val="clear" w:color="auto" w:fill="auto"/>
                  <w:vAlign w:val="center"/>
                  <w:hideMark/>
                </w:tcPr>
                <w:p w14:paraId="54C9CB1F"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Formal employment</w:t>
                  </w:r>
                </w:p>
              </w:tc>
              <w:tc>
                <w:tcPr>
                  <w:tcW w:w="1580" w:type="dxa"/>
                  <w:gridSpan w:val="2"/>
                  <w:tcBorders>
                    <w:top w:val="double" w:sz="6" w:space="0" w:color="auto"/>
                    <w:left w:val="nil"/>
                    <w:bottom w:val="double" w:sz="6" w:space="0" w:color="auto"/>
                    <w:right w:val="nil"/>
                  </w:tcBorders>
                  <w:shd w:val="clear" w:color="auto" w:fill="auto"/>
                  <w:vAlign w:val="center"/>
                  <w:hideMark/>
                </w:tcPr>
                <w:p w14:paraId="5C8238A1"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Informal employment</w:t>
                  </w:r>
                </w:p>
              </w:tc>
              <w:tc>
                <w:tcPr>
                  <w:tcW w:w="1600" w:type="dxa"/>
                  <w:gridSpan w:val="2"/>
                  <w:tcBorders>
                    <w:top w:val="double" w:sz="6" w:space="0" w:color="auto"/>
                    <w:left w:val="nil"/>
                    <w:bottom w:val="double" w:sz="6" w:space="0" w:color="auto"/>
                    <w:right w:val="nil"/>
                  </w:tcBorders>
                  <w:shd w:val="clear" w:color="auto" w:fill="auto"/>
                  <w:vAlign w:val="center"/>
                  <w:hideMark/>
                </w:tcPr>
                <w:p w14:paraId="0AC36690"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Formal employment</w:t>
                  </w:r>
                </w:p>
              </w:tc>
              <w:tc>
                <w:tcPr>
                  <w:tcW w:w="1600" w:type="dxa"/>
                  <w:gridSpan w:val="2"/>
                  <w:tcBorders>
                    <w:top w:val="double" w:sz="6" w:space="0" w:color="auto"/>
                    <w:left w:val="nil"/>
                    <w:bottom w:val="double" w:sz="6" w:space="0" w:color="auto"/>
                    <w:right w:val="nil"/>
                  </w:tcBorders>
                  <w:shd w:val="clear" w:color="auto" w:fill="auto"/>
                  <w:vAlign w:val="center"/>
                  <w:hideMark/>
                </w:tcPr>
                <w:p w14:paraId="05424F46" w14:textId="77777777" w:rsidR="00613E23" w:rsidRPr="00613E23" w:rsidRDefault="00613E23" w:rsidP="00613E23">
                  <w:pPr>
                    <w:spacing w:after="0" w:line="240" w:lineRule="auto"/>
                    <w:jc w:val="center"/>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Informal employment</w:t>
                  </w:r>
                </w:p>
              </w:tc>
            </w:tr>
            <w:tr w:rsidR="00613E23" w:rsidRPr="00613E23" w14:paraId="0608B778" w14:textId="77777777" w:rsidTr="00613E23">
              <w:trPr>
                <w:trHeight w:val="300"/>
                <w:jc w:val="center"/>
              </w:trPr>
              <w:tc>
                <w:tcPr>
                  <w:tcW w:w="1200" w:type="dxa"/>
                  <w:tcBorders>
                    <w:top w:val="nil"/>
                    <w:left w:val="nil"/>
                    <w:bottom w:val="nil"/>
                    <w:right w:val="nil"/>
                  </w:tcBorders>
                  <w:shd w:val="clear" w:color="auto" w:fill="auto"/>
                  <w:vAlign w:val="center"/>
                  <w:hideMark/>
                </w:tcPr>
                <w:p w14:paraId="6A080DFC"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L1.emp.fm</w:t>
                  </w:r>
                </w:p>
              </w:tc>
              <w:tc>
                <w:tcPr>
                  <w:tcW w:w="960" w:type="dxa"/>
                  <w:tcBorders>
                    <w:top w:val="nil"/>
                    <w:left w:val="nil"/>
                    <w:bottom w:val="nil"/>
                    <w:right w:val="nil"/>
                  </w:tcBorders>
                  <w:shd w:val="clear" w:color="auto" w:fill="auto"/>
                  <w:vAlign w:val="center"/>
                  <w:hideMark/>
                </w:tcPr>
                <w:p w14:paraId="520D76E7"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0.0837</w:t>
                  </w:r>
                </w:p>
              </w:tc>
              <w:tc>
                <w:tcPr>
                  <w:tcW w:w="560" w:type="dxa"/>
                  <w:tcBorders>
                    <w:top w:val="nil"/>
                    <w:left w:val="nil"/>
                    <w:bottom w:val="nil"/>
                    <w:right w:val="nil"/>
                  </w:tcBorders>
                  <w:shd w:val="clear" w:color="auto" w:fill="auto"/>
                  <w:vAlign w:val="center"/>
                  <w:hideMark/>
                </w:tcPr>
                <w:p w14:paraId="69976D8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7150FC2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0.0904</w:t>
                  </w:r>
                </w:p>
              </w:tc>
              <w:tc>
                <w:tcPr>
                  <w:tcW w:w="540" w:type="dxa"/>
                  <w:tcBorders>
                    <w:top w:val="nil"/>
                    <w:left w:val="nil"/>
                    <w:bottom w:val="nil"/>
                    <w:right w:val="nil"/>
                  </w:tcBorders>
                  <w:shd w:val="clear" w:color="auto" w:fill="auto"/>
                  <w:vAlign w:val="center"/>
                  <w:hideMark/>
                </w:tcPr>
                <w:p w14:paraId="4AE63B8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7D86C8D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0.481</w:t>
                  </w:r>
                </w:p>
              </w:tc>
              <w:tc>
                <w:tcPr>
                  <w:tcW w:w="540" w:type="dxa"/>
                  <w:tcBorders>
                    <w:top w:val="nil"/>
                    <w:left w:val="nil"/>
                    <w:bottom w:val="nil"/>
                    <w:right w:val="nil"/>
                  </w:tcBorders>
                  <w:shd w:val="clear" w:color="auto" w:fill="auto"/>
                  <w:vAlign w:val="center"/>
                  <w:hideMark/>
                </w:tcPr>
                <w:p w14:paraId="36D2CFC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507A7EE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0.0579</w:t>
                  </w:r>
                </w:p>
              </w:tc>
              <w:tc>
                <w:tcPr>
                  <w:tcW w:w="400" w:type="dxa"/>
                  <w:tcBorders>
                    <w:top w:val="nil"/>
                    <w:left w:val="nil"/>
                    <w:bottom w:val="nil"/>
                    <w:right w:val="nil"/>
                  </w:tcBorders>
                  <w:shd w:val="clear" w:color="auto" w:fill="auto"/>
                  <w:vAlign w:val="center"/>
                  <w:hideMark/>
                </w:tcPr>
                <w:p w14:paraId="0662594E"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2417F9B1" w14:textId="77777777" w:rsidTr="00613E23">
              <w:trPr>
                <w:trHeight w:val="290"/>
                <w:jc w:val="center"/>
              </w:trPr>
              <w:tc>
                <w:tcPr>
                  <w:tcW w:w="1200" w:type="dxa"/>
                  <w:tcBorders>
                    <w:top w:val="nil"/>
                    <w:left w:val="nil"/>
                    <w:bottom w:val="nil"/>
                    <w:right w:val="nil"/>
                  </w:tcBorders>
                  <w:shd w:val="clear" w:color="auto" w:fill="auto"/>
                  <w:vAlign w:val="center"/>
                  <w:hideMark/>
                </w:tcPr>
                <w:p w14:paraId="17731791"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L1.emp.fw</w:t>
                  </w:r>
                </w:p>
              </w:tc>
              <w:tc>
                <w:tcPr>
                  <w:tcW w:w="960" w:type="dxa"/>
                  <w:tcBorders>
                    <w:top w:val="nil"/>
                    <w:left w:val="nil"/>
                    <w:bottom w:val="nil"/>
                    <w:right w:val="nil"/>
                  </w:tcBorders>
                  <w:shd w:val="clear" w:color="auto" w:fill="auto"/>
                  <w:vAlign w:val="center"/>
                  <w:hideMark/>
                </w:tcPr>
                <w:p w14:paraId="355BC62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-0.0955</w:t>
                  </w:r>
                </w:p>
              </w:tc>
              <w:tc>
                <w:tcPr>
                  <w:tcW w:w="560" w:type="dxa"/>
                  <w:tcBorders>
                    <w:top w:val="nil"/>
                    <w:left w:val="nil"/>
                    <w:bottom w:val="nil"/>
                    <w:right w:val="nil"/>
                  </w:tcBorders>
                  <w:shd w:val="clear" w:color="auto" w:fill="auto"/>
                  <w:vAlign w:val="center"/>
                  <w:hideMark/>
                </w:tcPr>
                <w:p w14:paraId="1CCDB40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1A7FBBD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-0.0839</w:t>
                  </w:r>
                </w:p>
              </w:tc>
              <w:tc>
                <w:tcPr>
                  <w:tcW w:w="540" w:type="dxa"/>
                  <w:tcBorders>
                    <w:top w:val="nil"/>
                    <w:left w:val="nil"/>
                    <w:bottom w:val="nil"/>
                    <w:right w:val="nil"/>
                  </w:tcBorders>
                  <w:shd w:val="clear" w:color="auto" w:fill="auto"/>
                  <w:vAlign w:val="center"/>
                  <w:hideMark/>
                </w:tcPr>
                <w:p w14:paraId="3157194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757091C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-0.43</w:t>
                  </w:r>
                </w:p>
              </w:tc>
              <w:tc>
                <w:tcPr>
                  <w:tcW w:w="540" w:type="dxa"/>
                  <w:tcBorders>
                    <w:top w:val="nil"/>
                    <w:left w:val="nil"/>
                    <w:bottom w:val="nil"/>
                    <w:right w:val="nil"/>
                  </w:tcBorders>
                  <w:shd w:val="clear" w:color="auto" w:fill="auto"/>
                  <w:vAlign w:val="center"/>
                  <w:hideMark/>
                </w:tcPr>
                <w:p w14:paraId="7A955DD9"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4F3E570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-0.0703</w:t>
                  </w:r>
                </w:p>
              </w:tc>
              <w:tc>
                <w:tcPr>
                  <w:tcW w:w="400" w:type="dxa"/>
                  <w:tcBorders>
                    <w:top w:val="nil"/>
                    <w:left w:val="nil"/>
                    <w:bottom w:val="nil"/>
                    <w:right w:val="nil"/>
                  </w:tcBorders>
                  <w:shd w:val="clear" w:color="auto" w:fill="auto"/>
                  <w:vAlign w:val="center"/>
                  <w:hideMark/>
                </w:tcPr>
                <w:p w14:paraId="259D718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626A5541" w14:textId="77777777" w:rsidTr="00613E23">
              <w:trPr>
                <w:trHeight w:val="290"/>
                <w:jc w:val="center"/>
              </w:trPr>
              <w:tc>
                <w:tcPr>
                  <w:tcW w:w="1200" w:type="dxa"/>
                  <w:tcBorders>
                    <w:top w:val="nil"/>
                    <w:left w:val="nil"/>
                    <w:bottom w:val="nil"/>
                    <w:right w:val="nil"/>
                  </w:tcBorders>
                  <w:shd w:val="clear" w:color="auto" w:fill="auto"/>
                  <w:vAlign w:val="center"/>
                  <w:hideMark/>
                </w:tcPr>
                <w:p w14:paraId="46D2CC00"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L1.emp.im</w:t>
                  </w:r>
                </w:p>
              </w:tc>
              <w:tc>
                <w:tcPr>
                  <w:tcW w:w="960" w:type="dxa"/>
                  <w:tcBorders>
                    <w:top w:val="nil"/>
                    <w:left w:val="nil"/>
                    <w:bottom w:val="nil"/>
                    <w:right w:val="nil"/>
                  </w:tcBorders>
                  <w:shd w:val="clear" w:color="auto" w:fill="auto"/>
                  <w:vAlign w:val="center"/>
                  <w:hideMark/>
                </w:tcPr>
                <w:p w14:paraId="1FE8E78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0.21</w:t>
                  </w:r>
                </w:p>
              </w:tc>
              <w:tc>
                <w:tcPr>
                  <w:tcW w:w="560" w:type="dxa"/>
                  <w:tcBorders>
                    <w:top w:val="nil"/>
                    <w:left w:val="nil"/>
                    <w:bottom w:val="nil"/>
                    <w:right w:val="nil"/>
                  </w:tcBorders>
                  <w:shd w:val="clear" w:color="auto" w:fill="auto"/>
                  <w:vAlign w:val="center"/>
                  <w:hideMark/>
                </w:tcPr>
                <w:p w14:paraId="4507037B" w14:textId="77777777" w:rsidR="00613E23" w:rsidRPr="00613E23" w:rsidRDefault="00613E23" w:rsidP="00613E23">
                  <w:pPr>
                    <w:spacing w:after="0" w:line="240" w:lineRule="auto"/>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40" w:type="dxa"/>
                  <w:tcBorders>
                    <w:top w:val="nil"/>
                    <w:left w:val="nil"/>
                    <w:bottom w:val="nil"/>
                    <w:right w:val="nil"/>
                  </w:tcBorders>
                  <w:shd w:val="clear" w:color="auto" w:fill="auto"/>
                  <w:vAlign w:val="center"/>
                  <w:hideMark/>
                </w:tcPr>
                <w:p w14:paraId="391D4C9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-0.0671</w:t>
                  </w:r>
                </w:p>
              </w:tc>
              <w:tc>
                <w:tcPr>
                  <w:tcW w:w="540" w:type="dxa"/>
                  <w:tcBorders>
                    <w:top w:val="nil"/>
                    <w:left w:val="nil"/>
                    <w:bottom w:val="nil"/>
                    <w:right w:val="nil"/>
                  </w:tcBorders>
                  <w:shd w:val="clear" w:color="auto" w:fill="auto"/>
                  <w:vAlign w:val="center"/>
                  <w:hideMark/>
                </w:tcPr>
                <w:p w14:paraId="340F2A1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44CDD4B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0.258</w:t>
                  </w:r>
                </w:p>
              </w:tc>
              <w:tc>
                <w:tcPr>
                  <w:tcW w:w="540" w:type="dxa"/>
                  <w:tcBorders>
                    <w:top w:val="nil"/>
                    <w:left w:val="nil"/>
                    <w:bottom w:val="nil"/>
                    <w:right w:val="nil"/>
                  </w:tcBorders>
                  <w:shd w:val="clear" w:color="auto" w:fill="auto"/>
                  <w:vAlign w:val="center"/>
                  <w:hideMark/>
                </w:tcPr>
                <w:p w14:paraId="276785E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49895CB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0.251</w:t>
                  </w:r>
                </w:p>
              </w:tc>
              <w:tc>
                <w:tcPr>
                  <w:tcW w:w="400" w:type="dxa"/>
                  <w:tcBorders>
                    <w:top w:val="nil"/>
                    <w:left w:val="nil"/>
                    <w:bottom w:val="nil"/>
                    <w:right w:val="nil"/>
                  </w:tcBorders>
                  <w:shd w:val="clear" w:color="auto" w:fill="auto"/>
                  <w:vAlign w:val="center"/>
                  <w:hideMark/>
                </w:tcPr>
                <w:p w14:paraId="35B7ACB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r>
            <w:tr w:rsidR="00613E23" w:rsidRPr="00613E23" w14:paraId="5F9161AA" w14:textId="77777777" w:rsidTr="00613E23">
              <w:trPr>
                <w:trHeight w:val="290"/>
                <w:jc w:val="center"/>
              </w:trPr>
              <w:tc>
                <w:tcPr>
                  <w:tcW w:w="1200" w:type="dxa"/>
                  <w:tcBorders>
                    <w:top w:val="nil"/>
                    <w:left w:val="nil"/>
                    <w:bottom w:val="nil"/>
                    <w:right w:val="nil"/>
                  </w:tcBorders>
                  <w:shd w:val="clear" w:color="auto" w:fill="auto"/>
                  <w:vAlign w:val="center"/>
                  <w:hideMark/>
                </w:tcPr>
                <w:p w14:paraId="245577DB"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L1.emp.iw</w:t>
                  </w:r>
                </w:p>
              </w:tc>
              <w:tc>
                <w:tcPr>
                  <w:tcW w:w="960" w:type="dxa"/>
                  <w:tcBorders>
                    <w:top w:val="nil"/>
                    <w:left w:val="nil"/>
                    <w:bottom w:val="nil"/>
                    <w:right w:val="nil"/>
                  </w:tcBorders>
                  <w:shd w:val="clear" w:color="auto" w:fill="auto"/>
                  <w:vAlign w:val="center"/>
                  <w:hideMark/>
                </w:tcPr>
                <w:p w14:paraId="7DE3CCD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-0.0697</w:t>
                  </w:r>
                </w:p>
              </w:tc>
              <w:tc>
                <w:tcPr>
                  <w:tcW w:w="560" w:type="dxa"/>
                  <w:tcBorders>
                    <w:top w:val="nil"/>
                    <w:left w:val="nil"/>
                    <w:bottom w:val="nil"/>
                    <w:right w:val="nil"/>
                  </w:tcBorders>
                  <w:shd w:val="clear" w:color="auto" w:fill="auto"/>
                  <w:vAlign w:val="center"/>
                  <w:hideMark/>
                </w:tcPr>
                <w:p w14:paraId="273674D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6F2CB45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0.00286</w:t>
                  </w:r>
                </w:p>
              </w:tc>
              <w:tc>
                <w:tcPr>
                  <w:tcW w:w="540" w:type="dxa"/>
                  <w:tcBorders>
                    <w:top w:val="nil"/>
                    <w:left w:val="nil"/>
                    <w:bottom w:val="nil"/>
                    <w:right w:val="nil"/>
                  </w:tcBorders>
                  <w:shd w:val="clear" w:color="auto" w:fill="auto"/>
                  <w:vAlign w:val="center"/>
                  <w:hideMark/>
                </w:tcPr>
                <w:p w14:paraId="210E765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42DDFB0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-0.176</w:t>
                  </w:r>
                </w:p>
              </w:tc>
              <w:tc>
                <w:tcPr>
                  <w:tcW w:w="540" w:type="dxa"/>
                  <w:tcBorders>
                    <w:top w:val="nil"/>
                    <w:left w:val="nil"/>
                    <w:bottom w:val="nil"/>
                    <w:right w:val="nil"/>
                  </w:tcBorders>
                  <w:shd w:val="clear" w:color="auto" w:fill="auto"/>
                  <w:vAlign w:val="center"/>
                  <w:hideMark/>
                </w:tcPr>
                <w:p w14:paraId="58F45A8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31424AE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-0.197</w:t>
                  </w:r>
                </w:p>
              </w:tc>
              <w:tc>
                <w:tcPr>
                  <w:tcW w:w="400" w:type="dxa"/>
                  <w:tcBorders>
                    <w:top w:val="nil"/>
                    <w:left w:val="nil"/>
                    <w:bottom w:val="nil"/>
                    <w:right w:val="nil"/>
                  </w:tcBorders>
                  <w:shd w:val="clear" w:color="auto" w:fill="auto"/>
                  <w:vAlign w:val="center"/>
                  <w:hideMark/>
                </w:tcPr>
                <w:p w14:paraId="574079E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41939670" w14:textId="77777777" w:rsidTr="00613E23">
              <w:trPr>
                <w:trHeight w:val="290"/>
                <w:jc w:val="center"/>
              </w:trPr>
              <w:tc>
                <w:tcPr>
                  <w:tcW w:w="1200" w:type="dxa"/>
                  <w:tcBorders>
                    <w:top w:val="nil"/>
                    <w:left w:val="nil"/>
                    <w:bottom w:val="nil"/>
                    <w:right w:val="nil"/>
                  </w:tcBorders>
                  <w:shd w:val="clear" w:color="auto" w:fill="auto"/>
                  <w:vAlign w:val="center"/>
                  <w:hideMark/>
                </w:tcPr>
                <w:p w14:paraId="675CB349"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L1.pib</w:t>
                  </w:r>
                </w:p>
              </w:tc>
              <w:tc>
                <w:tcPr>
                  <w:tcW w:w="960" w:type="dxa"/>
                  <w:tcBorders>
                    <w:top w:val="nil"/>
                    <w:left w:val="nil"/>
                    <w:bottom w:val="nil"/>
                    <w:right w:val="nil"/>
                  </w:tcBorders>
                  <w:shd w:val="clear" w:color="auto" w:fill="auto"/>
                  <w:vAlign w:val="center"/>
                  <w:hideMark/>
                </w:tcPr>
                <w:p w14:paraId="6A56F36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0.605</w:t>
                  </w:r>
                </w:p>
              </w:tc>
              <w:tc>
                <w:tcPr>
                  <w:tcW w:w="560" w:type="dxa"/>
                  <w:tcBorders>
                    <w:top w:val="nil"/>
                    <w:left w:val="nil"/>
                    <w:bottom w:val="nil"/>
                    <w:right w:val="nil"/>
                  </w:tcBorders>
                  <w:shd w:val="clear" w:color="auto" w:fill="auto"/>
                  <w:vAlign w:val="center"/>
                  <w:hideMark/>
                </w:tcPr>
                <w:p w14:paraId="24C38D62"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40" w:type="dxa"/>
                  <w:tcBorders>
                    <w:top w:val="nil"/>
                    <w:left w:val="nil"/>
                    <w:bottom w:val="nil"/>
                    <w:right w:val="nil"/>
                  </w:tcBorders>
                  <w:shd w:val="clear" w:color="auto" w:fill="auto"/>
                  <w:vAlign w:val="center"/>
                  <w:hideMark/>
                </w:tcPr>
                <w:p w14:paraId="7D13A477"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0.083</w:t>
                  </w:r>
                </w:p>
              </w:tc>
              <w:tc>
                <w:tcPr>
                  <w:tcW w:w="540" w:type="dxa"/>
                  <w:tcBorders>
                    <w:top w:val="nil"/>
                    <w:left w:val="nil"/>
                    <w:bottom w:val="nil"/>
                    <w:right w:val="nil"/>
                  </w:tcBorders>
                  <w:shd w:val="clear" w:color="auto" w:fill="auto"/>
                  <w:vAlign w:val="center"/>
                  <w:hideMark/>
                </w:tcPr>
                <w:p w14:paraId="75996E7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A2F307C"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0.507</w:t>
                  </w:r>
                </w:p>
              </w:tc>
              <w:tc>
                <w:tcPr>
                  <w:tcW w:w="540" w:type="dxa"/>
                  <w:tcBorders>
                    <w:top w:val="nil"/>
                    <w:left w:val="nil"/>
                    <w:bottom w:val="nil"/>
                    <w:right w:val="nil"/>
                  </w:tcBorders>
                  <w:shd w:val="clear" w:color="auto" w:fill="auto"/>
                  <w:vAlign w:val="center"/>
                  <w:hideMark/>
                </w:tcPr>
                <w:p w14:paraId="1F63BE8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nil"/>
                    <w:right w:val="nil"/>
                  </w:tcBorders>
                  <w:shd w:val="clear" w:color="auto" w:fill="auto"/>
                  <w:vAlign w:val="center"/>
                  <w:hideMark/>
                </w:tcPr>
                <w:p w14:paraId="5090B40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-0.059</w:t>
                  </w:r>
                </w:p>
              </w:tc>
              <w:tc>
                <w:tcPr>
                  <w:tcW w:w="400" w:type="dxa"/>
                  <w:tcBorders>
                    <w:top w:val="nil"/>
                    <w:left w:val="nil"/>
                    <w:bottom w:val="nil"/>
                    <w:right w:val="nil"/>
                  </w:tcBorders>
                  <w:shd w:val="clear" w:color="auto" w:fill="auto"/>
                  <w:vAlign w:val="center"/>
                  <w:hideMark/>
                </w:tcPr>
                <w:p w14:paraId="5A56735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3C2094F5" w14:textId="77777777" w:rsidTr="00613E23">
              <w:trPr>
                <w:trHeight w:val="290"/>
                <w:jc w:val="center"/>
              </w:trPr>
              <w:tc>
                <w:tcPr>
                  <w:tcW w:w="1200" w:type="dxa"/>
                  <w:tcBorders>
                    <w:top w:val="nil"/>
                    <w:left w:val="nil"/>
                    <w:bottom w:val="nil"/>
                    <w:right w:val="nil"/>
                  </w:tcBorders>
                  <w:shd w:val="clear" w:color="auto" w:fill="auto"/>
                  <w:vAlign w:val="center"/>
                  <w:hideMark/>
                </w:tcPr>
                <w:p w14:paraId="55FF2B9D" w14:textId="449542EB"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L</w:t>
                  </w:r>
                  <w:r w:rsidR="00211A4A" w:rsidRPr="00613E23">
                    <w:rPr>
                      <w:rFonts w:ascii="Times New Roman" w:eastAsia="Times New Roman" w:hAnsi="Times New Roman" w:cs="Times New Roman"/>
                      <w:color w:val="000000"/>
                      <w:sz w:val="20"/>
                      <w:szCs w:val="20"/>
                      <w:lang w:val="es-MX" w:eastAsia="es-MX"/>
                    </w:rPr>
                    <w:t>1.rwhr</w:t>
                  </w:r>
                </w:p>
              </w:tc>
              <w:tc>
                <w:tcPr>
                  <w:tcW w:w="960" w:type="dxa"/>
                  <w:tcBorders>
                    <w:top w:val="nil"/>
                    <w:left w:val="nil"/>
                    <w:bottom w:val="nil"/>
                    <w:right w:val="nil"/>
                  </w:tcBorders>
                  <w:shd w:val="clear" w:color="auto" w:fill="auto"/>
                  <w:vAlign w:val="center"/>
                  <w:hideMark/>
                </w:tcPr>
                <w:p w14:paraId="3939199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0.0461</w:t>
                  </w:r>
                </w:p>
              </w:tc>
              <w:tc>
                <w:tcPr>
                  <w:tcW w:w="560" w:type="dxa"/>
                  <w:tcBorders>
                    <w:top w:val="nil"/>
                    <w:left w:val="nil"/>
                    <w:bottom w:val="nil"/>
                    <w:right w:val="nil"/>
                  </w:tcBorders>
                  <w:shd w:val="clear" w:color="auto" w:fill="auto"/>
                  <w:vAlign w:val="center"/>
                  <w:hideMark/>
                </w:tcPr>
                <w:p w14:paraId="5E96F9B0"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60F5B43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0.0142</w:t>
                  </w:r>
                </w:p>
              </w:tc>
              <w:tc>
                <w:tcPr>
                  <w:tcW w:w="540" w:type="dxa"/>
                  <w:tcBorders>
                    <w:top w:val="nil"/>
                    <w:left w:val="nil"/>
                    <w:bottom w:val="nil"/>
                    <w:right w:val="nil"/>
                  </w:tcBorders>
                  <w:shd w:val="clear" w:color="auto" w:fill="auto"/>
                  <w:vAlign w:val="center"/>
                  <w:hideMark/>
                </w:tcPr>
                <w:p w14:paraId="4D10B08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1450E42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0.00334</w:t>
                  </w:r>
                </w:p>
              </w:tc>
              <w:tc>
                <w:tcPr>
                  <w:tcW w:w="540" w:type="dxa"/>
                  <w:tcBorders>
                    <w:top w:val="nil"/>
                    <w:left w:val="nil"/>
                    <w:bottom w:val="nil"/>
                    <w:right w:val="nil"/>
                  </w:tcBorders>
                  <w:shd w:val="clear" w:color="auto" w:fill="auto"/>
                  <w:vAlign w:val="center"/>
                  <w:hideMark/>
                </w:tcPr>
                <w:p w14:paraId="7E4CFC4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6A777A1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0.0000185</w:t>
                  </w:r>
                </w:p>
              </w:tc>
              <w:tc>
                <w:tcPr>
                  <w:tcW w:w="400" w:type="dxa"/>
                  <w:tcBorders>
                    <w:top w:val="nil"/>
                    <w:left w:val="nil"/>
                    <w:bottom w:val="nil"/>
                    <w:right w:val="nil"/>
                  </w:tcBorders>
                  <w:shd w:val="clear" w:color="auto" w:fill="auto"/>
                  <w:vAlign w:val="center"/>
                  <w:hideMark/>
                </w:tcPr>
                <w:p w14:paraId="0493FB6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0D1C6B34" w14:textId="77777777" w:rsidTr="00613E23">
              <w:trPr>
                <w:trHeight w:val="300"/>
                <w:jc w:val="center"/>
              </w:trPr>
              <w:tc>
                <w:tcPr>
                  <w:tcW w:w="1200" w:type="dxa"/>
                  <w:tcBorders>
                    <w:top w:val="nil"/>
                    <w:left w:val="nil"/>
                    <w:bottom w:val="double" w:sz="6" w:space="0" w:color="auto"/>
                    <w:right w:val="nil"/>
                  </w:tcBorders>
                  <w:shd w:val="clear" w:color="auto" w:fill="auto"/>
                  <w:vAlign w:val="center"/>
                  <w:hideMark/>
                </w:tcPr>
                <w:p w14:paraId="48FF3C1E"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Constant</w:t>
                  </w:r>
                </w:p>
              </w:tc>
              <w:tc>
                <w:tcPr>
                  <w:tcW w:w="960" w:type="dxa"/>
                  <w:tcBorders>
                    <w:top w:val="nil"/>
                    <w:left w:val="nil"/>
                    <w:bottom w:val="double" w:sz="6" w:space="0" w:color="auto"/>
                    <w:right w:val="nil"/>
                  </w:tcBorders>
                  <w:shd w:val="clear" w:color="auto" w:fill="auto"/>
                  <w:vAlign w:val="center"/>
                  <w:hideMark/>
                </w:tcPr>
                <w:p w14:paraId="02B21ED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0.0031</w:t>
                  </w:r>
                </w:p>
              </w:tc>
              <w:tc>
                <w:tcPr>
                  <w:tcW w:w="560" w:type="dxa"/>
                  <w:tcBorders>
                    <w:top w:val="nil"/>
                    <w:left w:val="nil"/>
                    <w:bottom w:val="double" w:sz="6" w:space="0" w:color="auto"/>
                    <w:right w:val="nil"/>
                  </w:tcBorders>
                  <w:shd w:val="clear" w:color="auto" w:fill="auto"/>
                  <w:vAlign w:val="center"/>
                  <w:hideMark/>
                </w:tcPr>
                <w:p w14:paraId="0655228D"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40" w:type="dxa"/>
                  <w:tcBorders>
                    <w:top w:val="nil"/>
                    <w:left w:val="nil"/>
                    <w:bottom w:val="double" w:sz="6" w:space="0" w:color="auto"/>
                    <w:right w:val="nil"/>
                  </w:tcBorders>
                  <w:shd w:val="clear" w:color="auto" w:fill="auto"/>
                  <w:vAlign w:val="center"/>
                  <w:hideMark/>
                </w:tcPr>
                <w:p w14:paraId="0B1B40E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0.00715</w:t>
                  </w:r>
                </w:p>
              </w:tc>
              <w:tc>
                <w:tcPr>
                  <w:tcW w:w="540" w:type="dxa"/>
                  <w:tcBorders>
                    <w:top w:val="nil"/>
                    <w:left w:val="nil"/>
                    <w:bottom w:val="double" w:sz="6" w:space="0" w:color="auto"/>
                    <w:right w:val="nil"/>
                  </w:tcBorders>
                  <w:shd w:val="clear" w:color="auto" w:fill="auto"/>
                  <w:vAlign w:val="center"/>
                  <w:hideMark/>
                </w:tcPr>
                <w:p w14:paraId="2F95F24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060" w:type="dxa"/>
                  <w:tcBorders>
                    <w:top w:val="nil"/>
                    <w:left w:val="nil"/>
                    <w:bottom w:val="double" w:sz="6" w:space="0" w:color="auto"/>
                    <w:right w:val="nil"/>
                  </w:tcBorders>
                  <w:shd w:val="clear" w:color="auto" w:fill="auto"/>
                  <w:vAlign w:val="center"/>
                  <w:hideMark/>
                </w:tcPr>
                <w:p w14:paraId="267BFE2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0.00764</w:t>
                  </w:r>
                </w:p>
              </w:tc>
              <w:tc>
                <w:tcPr>
                  <w:tcW w:w="540" w:type="dxa"/>
                  <w:tcBorders>
                    <w:top w:val="nil"/>
                    <w:left w:val="nil"/>
                    <w:bottom w:val="double" w:sz="6" w:space="0" w:color="auto"/>
                    <w:right w:val="nil"/>
                  </w:tcBorders>
                  <w:shd w:val="clear" w:color="auto" w:fill="auto"/>
                  <w:vAlign w:val="center"/>
                  <w:hideMark/>
                </w:tcPr>
                <w:p w14:paraId="7DD24D92"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c>
                <w:tcPr>
                  <w:tcW w:w="1200" w:type="dxa"/>
                  <w:tcBorders>
                    <w:top w:val="nil"/>
                    <w:left w:val="nil"/>
                    <w:bottom w:val="double" w:sz="6" w:space="0" w:color="auto"/>
                    <w:right w:val="nil"/>
                  </w:tcBorders>
                  <w:shd w:val="clear" w:color="auto" w:fill="auto"/>
                  <w:vAlign w:val="center"/>
                  <w:hideMark/>
                </w:tcPr>
                <w:p w14:paraId="07F6E2B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0.0121</w:t>
                  </w:r>
                </w:p>
              </w:tc>
              <w:tc>
                <w:tcPr>
                  <w:tcW w:w="400" w:type="dxa"/>
                  <w:tcBorders>
                    <w:top w:val="nil"/>
                    <w:left w:val="nil"/>
                    <w:bottom w:val="double" w:sz="6" w:space="0" w:color="auto"/>
                    <w:right w:val="nil"/>
                  </w:tcBorders>
                  <w:shd w:val="clear" w:color="auto" w:fill="auto"/>
                  <w:vAlign w:val="center"/>
                  <w:hideMark/>
                </w:tcPr>
                <w:p w14:paraId="25641F95"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w:t>
                  </w:r>
                </w:p>
              </w:tc>
            </w:tr>
            <w:tr w:rsidR="00613E23" w:rsidRPr="00613E23" w14:paraId="4D574315" w14:textId="77777777" w:rsidTr="00613E23">
              <w:trPr>
                <w:trHeight w:val="300"/>
                <w:jc w:val="center"/>
              </w:trPr>
              <w:tc>
                <w:tcPr>
                  <w:tcW w:w="1200" w:type="dxa"/>
                  <w:tcBorders>
                    <w:top w:val="nil"/>
                    <w:left w:val="nil"/>
                    <w:bottom w:val="nil"/>
                    <w:right w:val="nil"/>
                  </w:tcBorders>
                  <w:shd w:val="clear" w:color="auto" w:fill="auto"/>
                  <w:vAlign w:val="center"/>
                  <w:hideMark/>
                </w:tcPr>
                <w:p w14:paraId="164955BA"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N</w:t>
                  </w:r>
                </w:p>
              </w:tc>
              <w:tc>
                <w:tcPr>
                  <w:tcW w:w="960" w:type="dxa"/>
                  <w:tcBorders>
                    <w:top w:val="nil"/>
                    <w:left w:val="nil"/>
                    <w:bottom w:val="nil"/>
                    <w:right w:val="nil"/>
                  </w:tcBorders>
                  <w:shd w:val="clear" w:color="auto" w:fill="auto"/>
                  <w:vAlign w:val="center"/>
                  <w:hideMark/>
                </w:tcPr>
                <w:p w14:paraId="166A7E04"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60" w:type="dxa"/>
                  <w:tcBorders>
                    <w:top w:val="nil"/>
                    <w:left w:val="nil"/>
                    <w:bottom w:val="nil"/>
                    <w:right w:val="nil"/>
                  </w:tcBorders>
                  <w:shd w:val="clear" w:color="auto" w:fill="auto"/>
                  <w:vAlign w:val="center"/>
                  <w:hideMark/>
                </w:tcPr>
                <w:p w14:paraId="0E7110D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229F89C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40" w:type="dxa"/>
                  <w:tcBorders>
                    <w:top w:val="nil"/>
                    <w:left w:val="nil"/>
                    <w:bottom w:val="nil"/>
                    <w:right w:val="nil"/>
                  </w:tcBorders>
                  <w:shd w:val="clear" w:color="auto" w:fill="auto"/>
                  <w:vAlign w:val="center"/>
                  <w:hideMark/>
                </w:tcPr>
                <w:p w14:paraId="5D748ACD"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5AFDC492"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540" w:type="dxa"/>
                  <w:tcBorders>
                    <w:top w:val="nil"/>
                    <w:left w:val="nil"/>
                    <w:bottom w:val="nil"/>
                    <w:right w:val="nil"/>
                  </w:tcBorders>
                  <w:shd w:val="clear" w:color="auto" w:fill="auto"/>
                  <w:vAlign w:val="center"/>
                  <w:hideMark/>
                </w:tcPr>
                <w:p w14:paraId="546AF6A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2685F1F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130</w:t>
                  </w:r>
                </w:p>
              </w:tc>
              <w:tc>
                <w:tcPr>
                  <w:tcW w:w="400" w:type="dxa"/>
                  <w:tcBorders>
                    <w:top w:val="nil"/>
                    <w:left w:val="nil"/>
                    <w:bottom w:val="nil"/>
                    <w:right w:val="nil"/>
                  </w:tcBorders>
                  <w:shd w:val="clear" w:color="auto" w:fill="auto"/>
                  <w:vAlign w:val="center"/>
                  <w:hideMark/>
                </w:tcPr>
                <w:p w14:paraId="7BA03D29"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2E51029F" w14:textId="77777777" w:rsidTr="00613E23">
              <w:trPr>
                <w:trHeight w:val="290"/>
                <w:jc w:val="center"/>
              </w:trPr>
              <w:tc>
                <w:tcPr>
                  <w:tcW w:w="1200" w:type="dxa"/>
                  <w:tcBorders>
                    <w:top w:val="nil"/>
                    <w:left w:val="nil"/>
                    <w:bottom w:val="nil"/>
                    <w:right w:val="nil"/>
                  </w:tcBorders>
                  <w:shd w:val="clear" w:color="auto" w:fill="auto"/>
                  <w:vAlign w:val="center"/>
                  <w:hideMark/>
                </w:tcPr>
                <w:p w14:paraId="27B559C4"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R-sq</w:t>
                  </w:r>
                </w:p>
              </w:tc>
              <w:tc>
                <w:tcPr>
                  <w:tcW w:w="960" w:type="dxa"/>
                  <w:tcBorders>
                    <w:top w:val="nil"/>
                    <w:left w:val="nil"/>
                    <w:bottom w:val="nil"/>
                    <w:right w:val="nil"/>
                  </w:tcBorders>
                  <w:shd w:val="clear" w:color="auto" w:fill="auto"/>
                  <w:vAlign w:val="center"/>
                  <w:hideMark/>
                </w:tcPr>
                <w:p w14:paraId="73418593"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0.1548</w:t>
                  </w:r>
                </w:p>
              </w:tc>
              <w:tc>
                <w:tcPr>
                  <w:tcW w:w="560" w:type="dxa"/>
                  <w:tcBorders>
                    <w:top w:val="nil"/>
                    <w:left w:val="nil"/>
                    <w:bottom w:val="nil"/>
                    <w:right w:val="nil"/>
                  </w:tcBorders>
                  <w:shd w:val="clear" w:color="auto" w:fill="auto"/>
                  <w:vAlign w:val="center"/>
                  <w:hideMark/>
                </w:tcPr>
                <w:p w14:paraId="33AE3C48"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40" w:type="dxa"/>
                  <w:tcBorders>
                    <w:top w:val="nil"/>
                    <w:left w:val="nil"/>
                    <w:bottom w:val="nil"/>
                    <w:right w:val="nil"/>
                  </w:tcBorders>
                  <w:shd w:val="clear" w:color="auto" w:fill="auto"/>
                  <w:vAlign w:val="center"/>
                  <w:hideMark/>
                </w:tcPr>
                <w:p w14:paraId="3E4B74F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0.0133</w:t>
                  </w:r>
                </w:p>
              </w:tc>
              <w:tc>
                <w:tcPr>
                  <w:tcW w:w="540" w:type="dxa"/>
                  <w:tcBorders>
                    <w:top w:val="nil"/>
                    <w:left w:val="nil"/>
                    <w:bottom w:val="nil"/>
                    <w:right w:val="nil"/>
                  </w:tcBorders>
                  <w:shd w:val="clear" w:color="auto" w:fill="auto"/>
                  <w:vAlign w:val="center"/>
                  <w:hideMark/>
                </w:tcPr>
                <w:p w14:paraId="6FD212C5"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060" w:type="dxa"/>
                  <w:tcBorders>
                    <w:top w:val="nil"/>
                    <w:left w:val="nil"/>
                    <w:bottom w:val="nil"/>
                    <w:right w:val="nil"/>
                  </w:tcBorders>
                  <w:shd w:val="clear" w:color="auto" w:fill="auto"/>
                  <w:vAlign w:val="center"/>
                  <w:hideMark/>
                </w:tcPr>
                <w:p w14:paraId="69270BD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0.1809</w:t>
                  </w:r>
                </w:p>
              </w:tc>
              <w:tc>
                <w:tcPr>
                  <w:tcW w:w="540" w:type="dxa"/>
                  <w:tcBorders>
                    <w:top w:val="nil"/>
                    <w:left w:val="nil"/>
                    <w:bottom w:val="nil"/>
                    <w:right w:val="nil"/>
                  </w:tcBorders>
                  <w:shd w:val="clear" w:color="auto" w:fill="auto"/>
                  <w:vAlign w:val="center"/>
                  <w:hideMark/>
                </w:tcPr>
                <w:p w14:paraId="19FF510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c>
                <w:tcPr>
                  <w:tcW w:w="1200" w:type="dxa"/>
                  <w:tcBorders>
                    <w:top w:val="nil"/>
                    <w:left w:val="nil"/>
                    <w:bottom w:val="nil"/>
                    <w:right w:val="nil"/>
                  </w:tcBorders>
                  <w:shd w:val="clear" w:color="auto" w:fill="auto"/>
                  <w:vAlign w:val="center"/>
                  <w:hideMark/>
                </w:tcPr>
                <w:p w14:paraId="72D4BD1A"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0.0403</w:t>
                  </w:r>
                </w:p>
              </w:tc>
              <w:tc>
                <w:tcPr>
                  <w:tcW w:w="400" w:type="dxa"/>
                  <w:tcBorders>
                    <w:top w:val="nil"/>
                    <w:left w:val="nil"/>
                    <w:bottom w:val="nil"/>
                    <w:right w:val="nil"/>
                  </w:tcBorders>
                  <w:shd w:val="clear" w:color="auto" w:fill="auto"/>
                  <w:vAlign w:val="center"/>
                  <w:hideMark/>
                </w:tcPr>
                <w:p w14:paraId="666791C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p>
              </w:tc>
            </w:tr>
            <w:tr w:rsidR="00613E23" w:rsidRPr="00613E23" w14:paraId="736DAA7D" w14:textId="77777777" w:rsidTr="00613E23">
              <w:trPr>
                <w:trHeight w:val="300"/>
                <w:jc w:val="center"/>
              </w:trPr>
              <w:tc>
                <w:tcPr>
                  <w:tcW w:w="1200" w:type="dxa"/>
                  <w:tcBorders>
                    <w:top w:val="nil"/>
                    <w:left w:val="nil"/>
                    <w:bottom w:val="double" w:sz="6" w:space="0" w:color="auto"/>
                    <w:right w:val="nil"/>
                  </w:tcBorders>
                  <w:shd w:val="clear" w:color="auto" w:fill="auto"/>
                  <w:vAlign w:val="center"/>
                  <w:hideMark/>
                </w:tcPr>
                <w:p w14:paraId="74DE5A7C"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Chi2(prob)</w:t>
                  </w:r>
                </w:p>
              </w:tc>
              <w:tc>
                <w:tcPr>
                  <w:tcW w:w="960" w:type="dxa"/>
                  <w:tcBorders>
                    <w:top w:val="nil"/>
                    <w:left w:val="nil"/>
                    <w:bottom w:val="double" w:sz="6" w:space="0" w:color="auto"/>
                    <w:right w:val="nil"/>
                  </w:tcBorders>
                  <w:shd w:val="clear" w:color="auto" w:fill="auto"/>
                  <w:vAlign w:val="center"/>
                  <w:hideMark/>
                </w:tcPr>
                <w:p w14:paraId="11424741"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0.001</w:t>
                  </w:r>
                </w:p>
              </w:tc>
              <w:tc>
                <w:tcPr>
                  <w:tcW w:w="560" w:type="dxa"/>
                  <w:tcBorders>
                    <w:top w:val="nil"/>
                    <w:left w:val="nil"/>
                    <w:bottom w:val="double" w:sz="6" w:space="0" w:color="auto"/>
                    <w:right w:val="nil"/>
                  </w:tcBorders>
                  <w:shd w:val="clear" w:color="auto" w:fill="auto"/>
                  <w:vAlign w:val="center"/>
                  <w:hideMark/>
                </w:tcPr>
                <w:p w14:paraId="36B433FF"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40" w:type="dxa"/>
                  <w:tcBorders>
                    <w:top w:val="nil"/>
                    <w:left w:val="nil"/>
                    <w:bottom w:val="double" w:sz="6" w:space="0" w:color="auto"/>
                    <w:right w:val="nil"/>
                  </w:tcBorders>
                  <w:shd w:val="clear" w:color="auto" w:fill="auto"/>
                  <w:vAlign w:val="center"/>
                  <w:hideMark/>
                </w:tcPr>
                <w:p w14:paraId="3A3B9DFF"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0.948</w:t>
                  </w:r>
                </w:p>
              </w:tc>
              <w:tc>
                <w:tcPr>
                  <w:tcW w:w="540" w:type="dxa"/>
                  <w:tcBorders>
                    <w:top w:val="nil"/>
                    <w:left w:val="nil"/>
                    <w:bottom w:val="double" w:sz="6" w:space="0" w:color="auto"/>
                    <w:right w:val="nil"/>
                  </w:tcBorders>
                  <w:shd w:val="clear" w:color="auto" w:fill="auto"/>
                  <w:vAlign w:val="center"/>
                  <w:hideMark/>
                </w:tcPr>
                <w:p w14:paraId="1C2909BE"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060" w:type="dxa"/>
                  <w:tcBorders>
                    <w:top w:val="nil"/>
                    <w:left w:val="nil"/>
                    <w:bottom w:val="double" w:sz="6" w:space="0" w:color="auto"/>
                    <w:right w:val="nil"/>
                  </w:tcBorders>
                  <w:shd w:val="clear" w:color="auto" w:fill="auto"/>
                  <w:vAlign w:val="center"/>
                  <w:hideMark/>
                </w:tcPr>
                <w:p w14:paraId="6D678A26"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0.0001</w:t>
                  </w:r>
                </w:p>
              </w:tc>
              <w:tc>
                <w:tcPr>
                  <w:tcW w:w="540" w:type="dxa"/>
                  <w:tcBorders>
                    <w:top w:val="nil"/>
                    <w:left w:val="nil"/>
                    <w:bottom w:val="double" w:sz="6" w:space="0" w:color="auto"/>
                    <w:right w:val="nil"/>
                  </w:tcBorders>
                  <w:shd w:val="clear" w:color="auto" w:fill="auto"/>
                  <w:vAlign w:val="center"/>
                  <w:hideMark/>
                </w:tcPr>
                <w:p w14:paraId="382BC2A0"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c>
                <w:tcPr>
                  <w:tcW w:w="1200" w:type="dxa"/>
                  <w:tcBorders>
                    <w:top w:val="nil"/>
                    <w:left w:val="nil"/>
                    <w:bottom w:val="double" w:sz="6" w:space="0" w:color="auto"/>
                    <w:right w:val="nil"/>
                  </w:tcBorders>
                  <w:shd w:val="clear" w:color="auto" w:fill="auto"/>
                  <w:vAlign w:val="center"/>
                  <w:hideMark/>
                </w:tcPr>
                <w:p w14:paraId="01D6407B" w14:textId="77777777" w:rsidR="00613E23" w:rsidRPr="00613E23" w:rsidRDefault="00613E23" w:rsidP="00613E23">
                  <w:pPr>
                    <w:spacing w:after="0" w:line="240" w:lineRule="auto"/>
                    <w:jc w:val="right"/>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0.5227</w:t>
                  </w:r>
                </w:p>
              </w:tc>
              <w:tc>
                <w:tcPr>
                  <w:tcW w:w="400" w:type="dxa"/>
                  <w:tcBorders>
                    <w:top w:val="nil"/>
                    <w:left w:val="nil"/>
                    <w:bottom w:val="double" w:sz="6" w:space="0" w:color="auto"/>
                    <w:right w:val="nil"/>
                  </w:tcBorders>
                  <w:shd w:val="clear" w:color="auto" w:fill="auto"/>
                  <w:vAlign w:val="center"/>
                  <w:hideMark/>
                </w:tcPr>
                <w:p w14:paraId="137465AF" w14:textId="77777777" w:rsidR="00613E23" w:rsidRPr="00613E23" w:rsidRDefault="00613E23" w:rsidP="00613E23">
                  <w:pPr>
                    <w:spacing w:after="0" w:line="240" w:lineRule="auto"/>
                    <w:jc w:val="both"/>
                    <w:rPr>
                      <w:rFonts w:ascii="Times New Roman" w:eastAsia="Times New Roman" w:hAnsi="Times New Roman" w:cs="Times New Roman"/>
                      <w:color w:val="000000"/>
                      <w:sz w:val="20"/>
                      <w:szCs w:val="20"/>
                      <w:lang w:val="es-MX" w:eastAsia="es-MX"/>
                    </w:rPr>
                  </w:pPr>
                  <w:r w:rsidRPr="00613E23">
                    <w:rPr>
                      <w:rFonts w:ascii="Times New Roman" w:eastAsia="Times New Roman" w:hAnsi="Times New Roman" w:cs="Times New Roman"/>
                      <w:color w:val="000000"/>
                      <w:sz w:val="20"/>
                      <w:szCs w:val="20"/>
                      <w:lang w:val="es-MX" w:eastAsia="es-MX"/>
                    </w:rPr>
                    <w:t> </w:t>
                  </w:r>
                </w:p>
              </w:tc>
            </w:tr>
          </w:tbl>
          <w:p w14:paraId="03B2E9BE" w14:textId="77777777" w:rsidR="00613E23" w:rsidRDefault="00613E23" w:rsidP="00DC6EDA">
            <w:pPr>
              <w:jc w:val="both"/>
              <w:rPr>
                <w:rFonts w:asciiTheme="majorBidi" w:hAnsiTheme="majorBidi"/>
                <w:color w:val="000000"/>
                <w:sz w:val="24"/>
              </w:rPr>
            </w:pPr>
          </w:p>
        </w:tc>
      </w:tr>
      <w:tr w:rsidR="00613E23" w14:paraId="2A53C6EF" w14:textId="77777777" w:rsidTr="00613E23">
        <w:tc>
          <w:tcPr>
            <w:tcW w:w="8828" w:type="dxa"/>
          </w:tcPr>
          <w:p w14:paraId="0E6AE119" w14:textId="77777777" w:rsidR="00613E23" w:rsidRDefault="00613E23" w:rsidP="00DC6EDA">
            <w:pPr>
              <w:jc w:val="both"/>
              <w:rPr>
                <w:rFonts w:asciiTheme="majorBidi" w:hAnsiTheme="majorBidi"/>
                <w:i/>
                <w:iCs/>
                <w:color w:val="000000"/>
                <w:sz w:val="20"/>
                <w:szCs w:val="18"/>
              </w:rPr>
            </w:pPr>
            <w:r w:rsidRPr="00613E23">
              <w:rPr>
                <w:rFonts w:asciiTheme="majorBidi" w:hAnsiTheme="majorBidi"/>
                <w:i/>
                <w:iCs/>
                <w:color w:val="000000"/>
                <w:sz w:val="20"/>
                <w:szCs w:val="18"/>
              </w:rPr>
              <w:t>p-value: 0.01***, 0.05**, 0.10*.</w:t>
            </w:r>
          </w:p>
          <w:p w14:paraId="67FE857C" w14:textId="54EB9576" w:rsidR="00613E23" w:rsidRPr="00613E23" w:rsidRDefault="00613E23" w:rsidP="00DC6EDA">
            <w:pPr>
              <w:jc w:val="both"/>
              <w:rPr>
                <w:rFonts w:asciiTheme="majorBidi" w:hAnsiTheme="majorBidi"/>
                <w:i/>
                <w:iCs/>
                <w:color w:val="000000"/>
                <w:sz w:val="24"/>
              </w:rPr>
            </w:pPr>
            <w:r w:rsidRPr="00613E23">
              <w:rPr>
                <w:rFonts w:asciiTheme="majorBidi" w:hAnsiTheme="majorBidi"/>
                <w:i/>
                <w:iCs/>
                <w:color w:val="000000"/>
                <w:sz w:val="20"/>
                <w:szCs w:val="18"/>
              </w:rPr>
              <w:t xml:space="preserve">Source: Own estimations with time series constructed and homologized of employment surveys (ENEU-ENOE). </w:t>
            </w:r>
            <w:r w:rsidR="00317BF0">
              <w:rPr>
                <w:rFonts w:asciiTheme="majorBidi" w:hAnsiTheme="majorBidi"/>
                <w:i/>
                <w:iCs/>
                <w:color w:val="000000"/>
                <w:sz w:val="20"/>
                <w:szCs w:val="18"/>
              </w:rPr>
              <w:t>S</w:t>
            </w:r>
            <w:r w:rsidRPr="00613E23">
              <w:rPr>
                <w:rFonts w:asciiTheme="majorBidi" w:hAnsiTheme="majorBidi"/>
                <w:i/>
                <w:iCs/>
                <w:color w:val="000000"/>
                <w:sz w:val="20"/>
                <w:szCs w:val="18"/>
              </w:rPr>
              <w:t>easonally adjusted series presented by growth rates.</w:t>
            </w:r>
          </w:p>
        </w:tc>
      </w:tr>
    </w:tbl>
    <w:p w14:paraId="5D598ED3" w14:textId="77777777" w:rsidR="00056F51" w:rsidRPr="00666047" w:rsidRDefault="00056F51" w:rsidP="00DC6EDA">
      <w:pPr>
        <w:spacing w:after="0" w:line="240" w:lineRule="auto"/>
        <w:jc w:val="both"/>
        <w:rPr>
          <w:rFonts w:asciiTheme="majorBidi" w:hAnsiTheme="majorBidi"/>
          <w:color w:val="000000"/>
          <w:sz w:val="24"/>
        </w:rPr>
      </w:pPr>
    </w:p>
    <w:p w14:paraId="64158D2A" w14:textId="3E74D911" w:rsidR="004932B4" w:rsidRPr="0016142F" w:rsidRDefault="00C33673" w:rsidP="00C33673">
      <w:pPr>
        <w:spacing w:after="0" w:line="240" w:lineRule="auto"/>
        <w:jc w:val="both"/>
        <w:rPr>
          <w:rFonts w:asciiTheme="majorBidi" w:hAnsiTheme="majorBidi"/>
          <w:color w:val="000000"/>
          <w:sz w:val="24"/>
        </w:rPr>
      </w:pPr>
      <w:r>
        <w:rPr>
          <w:rFonts w:asciiTheme="majorBidi" w:hAnsiTheme="majorBidi"/>
          <w:color w:val="000000"/>
          <w:sz w:val="24"/>
        </w:rPr>
        <w:t>As soon as we have analyzed</w:t>
      </w:r>
      <w:r w:rsidRPr="004C731D">
        <w:rPr>
          <w:rFonts w:asciiTheme="majorBidi" w:hAnsiTheme="majorBidi"/>
          <w:color w:val="000000"/>
          <w:sz w:val="24"/>
        </w:rPr>
        <w:t xml:space="preserve"> the</w:t>
      </w:r>
      <w:r w:rsidR="004932B4" w:rsidRPr="0016142F">
        <w:rPr>
          <w:rFonts w:asciiTheme="majorBidi" w:hAnsiTheme="majorBidi"/>
          <w:color w:val="000000"/>
          <w:sz w:val="24"/>
        </w:rPr>
        <w:t xml:space="preserve"> dynamics and structure of employment</w:t>
      </w:r>
      <w:r w:rsidR="004932B4" w:rsidRPr="004C731D">
        <w:rPr>
          <w:rFonts w:asciiTheme="majorBidi" w:hAnsiTheme="majorBidi"/>
          <w:color w:val="000000"/>
          <w:sz w:val="24"/>
        </w:rPr>
        <w:t xml:space="preserve">, we </w:t>
      </w:r>
      <w:r>
        <w:rPr>
          <w:rFonts w:asciiTheme="majorBidi" w:hAnsiTheme="majorBidi"/>
          <w:color w:val="000000"/>
          <w:sz w:val="24"/>
        </w:rPr>
        <w:t xml:space="preserve">can </w:t>
      </w:r>
      <w:r w:rsidR="004932B4" w:rsidRPr="004C731D">
        <w:rPr>
          <w:rFonts w:asciiTheme="majorBidi" w:hAnsiTheme="majorBidi"/>
          <w:color w:val="000000"/>
          <w:sz w:val="24"/>
        </w:rPr>
        <w:t>proceed</w:t>
      </w:r>
      <w:r w:rsidRPr="0016142F">
        <w:rPr>
          <w:rFonts w:asciiTheme="majorBidi" w:hAnsiTheme="majorBidi"/>
          <w:color w:val="000000"/>
          <w:sz w:val="24"/>
        </w:rPr>
        <w:t xml:space="preserve"> </w:t>
      </w:r>
      <w:r>
        <w:rPr>
          <w:rFonts w:asciiTheme="majorBidi" w:hAnsiTheme="majorBidi"/>
          <w:color w:val="000000"/>
          <w:sz w:val="24"/>
        </w:rPr>
        <w:t>in our</w:t>
      </w:r>
      <w:r w:rsidRPr="004C731D">
        <w:rPr>
          <w:rFonts w:asciiTheme="majorBidi" w:hAnsiTheme="majorBidi"/>
          <w:color w:val="000000"/>
          <w:sz w:val="24"/>
        </w:rPr>
        <w:t xml:space="preserve"> </w:t>
      </w:r>
      <w:r w:rsidR="004932B4" w:rsidRPr="0016142F">
        <w:rPr>
          <w:rFonts w:asciiTheme="majorBidi" w:hAnsiTheme="majorBidi"/>
          <w:color w:val="000000"/>
          <w:sz w:val="24"/>
        </w:rPr>
        <w:t>analysis of sensitivity and impact on the employment structure</w:t>
      </w:r>
      <w:r>
        <w:rPr>
          <w:rFonts w:asciiTheme="majorBidi" w:hAnsiTheme="majorBidi"/>
          <w:color w:val="000000"/>
          <w:sz w:val="24"/>
        </w:rPr>
        <w:t>,</w:t>
      </w:r>
      <w:r w:rsidR="004932B4" w:rsidRPr="004C731D">
        <w:rPr>
          <w:rFonts w:asciiTheme="majorBidi" w:hAnsiTheme="majorBidi"/>
          <w:color w:val="000000"/>
          <w:sz w:val="24"/>
        </w:rPr>
        <w:t xml:space="preserve"> with</w:t>
      </w:r>
      <w:r w:rsidRPr="0016142F">
        <w:rPr>
          <w:rFonts w:asciiTheme="majorBidi" w:hAnsiTheme="majorBidi"/>
          <w:color w:val="000000"/>
          <w:sz w:val="24"/>
        </w:rPr>
        <w:t xml:space="preserve"> </w:t>
      </w:r>
      <w:r>
        <w:rPr>
          <w:rFonts w:asciiTheme="majorBidi" w:hAnsiTheme="majorBidi"/>
          <w:color w:val="000000"/>
          <w:sz w:val="24"/>
        </w:rPr>
        <w:t>an</w:t>
      </w:r>
      <w:r w:rsidR="004932B4" w:rsidRPr="00294B9C">
        <w:rPr>
          <w:rFonts w:asciiTheme="majorBidi" w:hAnsiTheme="majorBidi"/>
          <w:color w:val="000000"/>
          <w:sz w:val="24"/>
        </w:rPr>
        <w:t xml:space="preserve"> </w:t>
      </w:r>
      <w:r w:rsidR="004932B4" w:rsidRPr="004C731D">
        <w:rPr>
          <w:rFonts w:asciiTheme="majorBidi" w:hAnsiTheme="majorBidi"/>
          <w:color w:val="000000"/>
          <w:sz w:val="24"/>
        </w:rPr>
        <w:t xml:space="preserve">emphasis on the </w:t>
      </w:r>
      <w:r w:rsidR="00317BF0">
        <w:rPr>
          <w:rFonts w:asciiTheme="majorBidi" w:hAnsiTheme="majorBidi" w:cstheme="majorBidi"/>
          <w:color w:val="000000"/>
          <w:sz w:val="24"/>
          <w:szCs w:val="24"/>
        </w:rPr>
        <w:t>"</w:t>
      </w:r>
      <w:r w:rsidR="004932B4" w:rsidRPr="004C731D">
        <w:rPr>
          <w:rFonts w:asciiTheme="majorBidi" w:hAnsiTheme="majorBidi"/>
          <w:color w:val="000000"/>
          <w:sz w:val="24"/>
        </w:rPr>
        <w:t>economic shock</w:t>
      </w:r>
      <w:r w:rsidR="00317BF0">
        <w:rPr>
          <w:rFonts w:asciiTheme="majorBidi" w:hAnsiTheme="majorBidi" w:cstheme="majorBidi"/>
          <w:color w:val="000000"/>
          <w:sz w:val="24"/>
          <w:szCs w:val="24"/>
        </w:rPr>
        <w:t>"</w:t>
      </w:r>
      <w:r w:rsidR="004932B4" w:rsidRPr="004C731D">
        <w:rPr>
          <w:rFonts w:asciiTheme="majorBidi" w:hAnsiTheme="majorBidi"/>
          <w:color w:val="000000"/>
          <w:sz w:val="24"/>
        </w:rPr>
        <w:t xml:space="preserve"> of COVID-19 and the long-term trend.</w:t>
      </w:r>
    </w:p>
    <w:p w14:paraId="1DCF801F" w14:textId="5096C381" w:rsidR="00A8001F" w:rsidRDefault="00A8001F" w:rsidP="00DC6EDA">
      <w:pPr>
        <w:spacing w:after="0" w:line="240" w:lineRule="auto"/>
        <w:jc w:val="both"/>
        <w:rPr>
          <w:rFonts w:asciiTheme="majorBidi" w:hAnsiTheme="majorBidi"/>
          <w:color w:val="000000"/>
          <w:sz w:val="24"/>
        </w:rPr>
      </w:pPr>
    </w:p>
    <w:p w14:paraId="42D71D15" w14:textId="77777777" w:rsidR="007648BB" w:rsidRPr="00666047" w:rsidRDefault="007648BB" w:rsidP="00DC6EDA">
      <w:pPr>
        <w:spacing w:after="0" w:line="240" w:lineRule="auto"/>
        <w:jc w:val="both"/>
        <w:rPr>
          <w:rFonts w:asciiTheme="majorBidi" w:hAnsiTheme="majorBidi"/>
          <w:color w:val="000000"/>
          <w:sz w:val="24"/>
        </w:rPr>
      </w:pPr>
    </w:p>
    <w:p w14:paraId="5A9BB216" w14:textId="261D6C4E" w:rsidR="004932B4" w:rsidRPr="00BE052D" w:rsidRDefault="004932B4" w:rsidP="00DC6EDA">
      <w:pPr>
        <w:spacing w:after="0" w:line="240" w:lineRule="auto"/>
        <w:jc w:val="both"/>
        <w:rPr>
          <w:rFonts w:asciiTheme="majorBidi" w:hAnsiTheme="majorBidi"/>
          <w:b/>
          <w:color w:val="000000"/>
          <w:sz w:val="24"/>
        </w:rPr>
      </w:pPr>
      <w:r w:rsidRPr="00BE052D">
        <w:rPr>
          <w:rFonts w:asciiTheme="majorBidi" w:hAnsiTheme="majorBidi"/>
          <w:b/>
          <w:color w:val="000000"/>
          <w:sz w:val="24"/>
        </w:rPr>
        <w:t xml:space="preserve">4.3 Employment impact analysis: the COVID-19 shock and structural effect </w:t>
      </w:r>
    </w:p>
    <w:p w14:paraId="7189EA09" w14:textId="77777777" w:rsidR="00A8001F" w:rsidRPr="00AA1CA4" w:rsidRDefault="00A8001F" w:rsidP="00DC6EDA">
      <w:pPr>
        <w:spacing w:after="0" w:line="240" w:lineRule="auto"/>
        <w:jc w:val="both"/>
        <w:rPr>
          <w:rFonts w:asciiTheme="majorBidi" w:hAnsiTheme="majorBidi"/>
          <w:b/>
          <w:color w:val="000000"/>
          <w:sz w:val="24"/>
        </w:rPr>
      </w:pPr>
    </w:p>
    <w:p w14:paraId="485E8993" w14:textId="4CCB2A5F" w:rsidR="004932B4" w:rsidRPr="0016142F" w:rsidRDefault="004932B4" w:rsidP="003043FA">
      <w:pPr>
        <w:spacing w:after="0" w:line="240" w:lineRule="auto"/>
        <w:jc w:val="both"/>
        <w:rPr>
          <w:rFonts w:asciiTheme="majorBidi" w:hAnsiTheme="majorBidi"/>
          <w:color w:val="000000"/>
          <w:sz w:val="24"/>
        </w:rPr>
      </w:pPr>
      <w:r w:rsidRPr="00AA1CA4">
        <w:rPr>
          <w:rFonts w:asciiTheme="majorBidi" w:hAnsiTheme="majorBidi"/>
          <w:color w:val="000000"/>
          <w:sz w:val="24"/>
        </w:rPr>
        <w:t>In this section</w:t>
      </w:r>
      <w:r w:rsidR="005857C1" w:rsidRPr="00AA1CA4">
        <w:rPr>
          <w:rFonts w:asciiTheme="majorBidi" w:hAnsiTheme="majorBidi"/>
          <w:color w:val="000000"/>
          <w:sz w:val="24"/>
        </w:rPr>
        <w:t>,</w:t>
      </w:r>
      <w:r w:rsidRPr="00AA1CA4">
        <w:rPr>
          <w:rFonts w:asciiTheme="majorBidi" w:hAnsiTheme="majorBidi"/>
          <w:color w:val="000000"/>
          <w:sz w:val="24"/>
        </w:rPr>
        <w:t xml:space="preserve"> we </w:t>
      </w:r>
      <w:r w:rsidRPr="004C731D">
        <w:rPr>
          <w:rFonts w:asciiTheme="majorBidi" w:hAnsiTheme="majorBidi"/>
          <w:color w:val="000000"/>
          <w:sz w:val="24"/>
        </w:rPr>
        <w:t xml:space="preserve">present the main contribution of this paper, which is to quantify and isolate the impact of COVID-19 and what we call the </w:t>
      </w:r>
      <w:r w:rsidR="00317BF0">
        <w:rPr>
          <w:rFonts w:asciiTheme="majorBidi" w:hAnsiTheme="majorBidi" w:cstheme="majorBidi"/>
          <w:color w:val="000000"/>
          <w:sz w:val="24"/>
          <w:szCs w:val="24"/>
        </w:rPr>
        <w:t>"</w:t>
      </w:r>
      <w:r w:rsidRPr="004C731D">
        <w:rPr>
          <w:rFonts w:asciiTheme="majorBidi" w:hAnsiTheme="majorBidi"/>
          <w:color w:val="000000"/>
          <w:sz w:val="24"/>
        </w:rPr>
        <w:t>structural effect</w:t>
      </w:r>
      <w:r w:rsidR="00317BF0">
        <w:rPr>
          <w:rFonts w:asciiTheme="majorBidi" w:hAnsiTheme="majorBidi" w:cstheme="majorBidi"/>
          <w:color w:val="000000"/>
          <w:sz w:val="24"/>
          <w:szCs w:val="24"/>
        </w:rPr>
        <w:t>"</w:t>
      </w:r>
      <w:r w:rsidRPr="004C731D">
        <w:rPr>
          <w:rFonts w:asciiTheme="majorBidi" w:hAnsiTheme="majorBidi"/>
          <w:color w:val="000000"/>
          <w:sz w:val="24"/>
        </w:rPr>
        <w:t xml:space="preserve"> on employment in Mexico. To estimate the impact</w:t>
      </w:r>
      <w:r w:rsidR="00C33673">
        <w:rPr>
          <w:rFonts w:asciiTheme="majorBidi" w:hAnsiTheme="majorBidi"/>
          <w:color w:val="000000"/>
          <w:sz w:val="24"/>
        </w:rPr>
        <w:t>,</w:t>
      </w:r>
      <w:r w:rsidRPr="004C731D">
        <w:rPr>
          <w:rFonts w:asciiTheme="majorBidi" w:hAnsiTheme="majorBidi"/>
          <w:color w:val="000000"/>
          <w:sz w:val="24"/>
        </w:rPr>
        <w:t xml:space="preserve"> we rely</w:t>
      </w:r>
      <w:r w:rsidRPr="0016142F">
        <w:rPr>
          <w:rFonts w:asciiTheme="majorBidi" w:hAnsiTheme="majorBidi"/>
          <w:color w:val="000000"/>
          <w:sz w:val="24"/>
        </w:rPr>
        <w:t xml:space="preserve"> on impulse response functions</w:t>
      </w:r>
      <w:r w:rsidRPr="004C731D">
        <w:rPr>
          <w:rFonts w:asciiTheme="majorBidi" w:hAnsiTheme="majorBidi"/>
          <w:color w:val="000000"/>
          <w:sz w:val="24"/>
        </w:rPr>
        <w:t xml:space="preserve"> using productivity (GDP) as the impulse variable and the response variable </w:t>
      </w:r>
      <w:r w:rsidR="001C189A" w:rsidRPr="0016142F">
        <w:rPr>
          <w:rFonts w:asciiTheme="majorBidi" w:hAnsiTheme="majorBidi"/>
          <w:color w:val="000000"/>
          <w:sz w:val="24"/>
        </w:rPr>
        <w:t>a</w:t>
      </w:r>
      <w:r w:rsidRPr="0016142F">
        <w:rPr>
          <w:rFonts w:asciiTheme="majorBidi" w:hAnsiTheme="majorBidi"/>
          <w:color w:val="000000"/>
          <w:sz w:val="24"/>
        </w:rPr>
        <w:t xml:space="preserve">s the different employment structures by gender. We introduce as the initial shock of COVID-19 the observed change in </w:t>
      </w:r>
      <w:r w:rsidRPr="004932B4">
        <w:rPr>
          <w:rFonts w:asciiTheme="majorBidi" w:hAnsiTheme="majorBidi" w:cstheme="majorBidi"/>
          <w:color w:val="000000"/>
          <w:sz w:val="24"/>
          <w:szCs w:val="24"/>
        </w:rPr>
        <w:t>Mexico</w:t>
      </w:r>
      <w:r w:rsidR="00317BF0">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real GDP for the first</w:t>
      </w:r>
      <w:r w:rsidRPr="0016142F">
        <w:rPr>
          <w:rFonts w:asciiTheme="majorBidi" w:hAnsiTheme="majorBidi"/>
          <w:color w:val="000000"/>
          <w:sz w:val="24"/>
        </w:rPr>
        <w:t xml:space="preserve"> quarter of 2020, which was -2.2 % (INEGI, 2020).</w:t>
      </w:r>
    </w:p>
    <w:p w14:paraId="0CE4FAD5" w14:textId="77777777" w:rsidR="00613E23" w:rsidRDefault="00613E23" w:rsidP="00DC6EDA">
      <w:pPr>
        <w:spacing w:after="0" w:line="240" w:lineRule="auto"/>
        <w:jc w:val="both"/>
        <w:rPr>
          <w:rFonts w:asciiTheme="majorBidi" w:hAnsiTheme="majorBidi"/>
          <w:color w:val="000000"/>
          <w:sz w:val="24"/>
        </w:rPr>
      </w:pPr>
    </w:p>
    <w:p w14:paraId="3D476C7D" w14:textId="5402DCFF" w:rsidR="004932B4" w:rsidRDefault="00613E23" w:rsidP="00DC6EDA">
      <w:pPr>
        <w:spacing w:after="0" w:line="240" w:lineRule="auto"/>
        <w:jc w:val="both"/>
        <w:rPr>
          <w:rFonts w:asciiTheme="majorBidi" w:hAnsiTheme="majorBidi"/>
          <w:color w:val="000000"/>
          <w:sz w:val="24"/>
        </w:rPr>
      </w:pPr>
      <w:r>
        <w:rPr>
          <w:rFonts w:asciiTheme="majorBidi" w:hAnsiTheme="majorBidi"/>
          <w:color w:val="000000"/>
          <w:sz w:val="24"/>
        </w:rPr>
        <w:t>Figure</w:t>
      </w:r>
      <w:r w:rsidR="004932B4" w:rsidRPr="00666047">
        <w:rPr>
          <w:rFonts w:asciiTheme="majorBidi" w:hAnsiTheme="majorBidi"/>
          <w:color w:val="000000"/>
          <w:sz w:val="24"/>
        </w:rPr>
        <w:t xml:space="preserve"> </w:t>
      </w:r>
      <w:r w:rsidR="0060243D" w:rsidRPr="00666047">
        <w:rPr>
          <w:rFonts w:asciiTheme="majorBidi" w:hAnsiTheme="majorBidi"/>
          <w:color w:val="000000"/>
          <w:sz w:val="24"/>
        </w:rPr>
        <w:t>1</w:t>
      </w:r>
      <w:r w:rsidR="004932B4" w:rsidRPr="00666047">
        <w:rPr>
          <w:rFonts w:asciiTheme="majorBidi" w:hAnsiTheme="majorBidi"/>
          <w:color w:val="000000"/>
          <w:sz w:val="24"/>
        </w:rPr>
        <w:t xml:space="preserve"> shows the impulse response functions differentiated by employment structure and gender.</w:t>
      </w:r>
    </w:p>
    <w:p w14:paraId="546939C5" w14:textId="63DA17ED" w:rsidR="00613E23" w:rsidRDefault="00613E23" w:rsidP="00DC6EDA">
      <w:pPr>
        <w:spacing w:after="0" w:line="240" w:lineRule="auto"/>
        <w:jc w:val="both"/>
        <w:rPr>
          <w:rFonts w:asciiTheme="majorBidi" w:hAnsiTheme="majorBidi"/>
          <w:color w:val="000000"/>
          <w:sz w:val="24"/>
        </w:rPr>
      </w:pPr>
    </w:p>
    <w:p w14:paraId="39B1DDC7" w14:textId="74AFDCD3" w:rsidR="007648BB" w:rsidRPr="004C731D" w:rsidRDefault="007648BB" w:rsidP="007648BB">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It can be observed that the shock in the short term (period t+1) is </w:t>
      </w:r>
      <w:r w:rsidR="002A0588">
        <w:rPr>
          <w:rFonts w:asciiTheme="majorBidi" w:hAnsiTheme="majorBidi"/>
          <w:color w:val="000000"/>
          <w:sz w:val="24"/>
        </w:rPr>
        <w:t>harmful</w:t>
      </w:r>
      <w:r w:rsidRPr="00666047">
        <w:rPr>
          <w:rFonts w:asciiTheme="majorBidi" w:hAnsiTheme="majorBidi"/>
          <w:color w:val="000000"/>
          <w:sz w:val="24"/>
        </w:rPr>
        <w:t xml:space="preserve"> </w:t>
      </w:r>
      <w:r w:rsidR="00317BF0">
        <w:rPr>
          <w:rFonts w:asciiTheme="majorBidi" w:hAnsiTheme="majorBidi"/>
          <w:color w:val="000000"/>
          <w:sz w:val="24"/>
        </w:rPr>
        <w:t>to</w:t>
      </w:r>
      <w:r w:rsidRPr="00666047">
        <w:rPr>
          <w:rFonts w:asciiTheme="majorBidi" w:hAnsiTheme="majorBidi"/>
          <w:color w:val="000000"/>
          <w:sz w:val="24"/>
        </w:rPr>
        <w:t xml:space="preserve"> the formal employment of men and women in Mexico in both series, as estimated in several sources for IMSS</w:t>
      </w:r>
      <w:r>
        <w:rPr>
          <w:rFonts w:asciiTheme="majorBidi" w:hAnsiTheme="majorBidi"/>
          <w:color w:val="000000"/>
          <w:sz w:val="24"/>
        </w:rPr>
        <w:t>-</w:t>
      </w:r>
      <w:r w:rsidRPr="004C731D">
        <w:rPr>
          <w:rFonts w:asciiTheme="majorBidi" w:hAnsiTheme="majorBidi"/>
          <w:color w:val="000000"/>
          <w:sz w:val="24"/>
        </w:rPr>
        <w:t>registered workers (Banxico, 2020). On the other hand, our estimate shows persistent employment loss throughout the five periods</w:t>
      </w:r>
      <w:r>
        <w:rPr>
          <w:rFonts w:asciiTheme="majorBidi" w:hAnsiTheme="majorBidi"/>
          <w:color w:val="000000"/>
          <w:sz w:val="24"/>
        </w:rPr>
        <w:t>,</w:t>
      </w:r>
      <w:r w:rsidRPr="00294B9C">
        <w:rPr>
          <w:rFonts w:asciiTheme="majorBidi" w:hAnsiTheme="majorBidi"/>
          <w:color w:val="000000"/>
          <w:sz w:val="24"/>
        </w:rPr>
        <w:t xml:space="preserve"> </w:t>
      </w:r>
      <w:r>
        <w:rPr>
          <w:rFonts w:asciiTheme="majorBidi" w:hAnsiTheme="majorBidi"/>
          <w:color w:val="000000"/>
          <w:sz w:val="24"/>
        </w:rPr>
        <w:t>as well as</w:t>
      </w:r>
      <w:r w:rsidRPr="004C731D">
        <w:rPr>
          <w:rFonts w:asciiTheme="majorBidi" w:hAnsiTheme="majorBidi"/>
          <w:color w:val="000000"/>
          <w:sz w:val="24"/>
        </w:rPr>
        <w:t xml:space="preserve"> </w:t>
      </w:r>
      <w:r w:rsidR="00317BF0">
        <w:rPr>
          <w:rFonts w:asciiTheme="majorBidi" w:hAnsiTheme="majorBidi"/>
          <w:color w:val="000000"/>
          <w:sz w:val="24"/>
        </w:rPr>
        <w:t xml:space="preserve">a </w:t>
      </w:r>
      <w:r w:rsidR="002A0588">
        <w:rPr>
          <w:rFonts w:asciiTheme="majorBidi" w:hAnsiTheme="majorBidi"/>
          <w:color w:val="000000"/>
          <w:sz w:val="24"/>
        </w:rPr>
        <w:t>more profound</w:t>
      </w:r>
      <w:r w:rsidRPr="004C731D">
        <w:rPr>
          <w:rFonts w:asciiTheme="majorBidi" w:hAnsiTheme="majorBidi"/>
          <w:color w:val="000000"/>
          <w:sz w:val="24"/>
        </w:rPr>
        <w:t xml:space="preserve"> </w:t>
      </w:r>
      <w:r>
        <w:rPr>
          <w:rFonts w:asciiTheme="majorBidi" w:hAnsiTheme="majorBidi"/>
          <w:color w:val="000000"/>
          <w:sz w:val="24"/>
        </w:rPr>
        <w:t xml:space="preserve">loss </w:t>
      </w:r>
      <w:r w:rsidRPr="004C731D">
        <w:rPr>
          <w:rFonts w:asciiTheme="majorBidi" w:hAnsiTheme="majorBidi"/>
          <w:color w:val="000000"/>
          <w:sz w:val="24"/>
        </w:rPr>
        <w:t>fo</w:t>
      </w:r>
      <w:r w:rsidRPr="0016142F">
        <w:rPr>
          <w:rFonts w:asciiTheme="majorBidi" w:hAnsiTheme="majorBidi"/>
          <w:color w:val="000000"/>
          <w:sz w:val="24"/>
        </w:rPr>
        <w:t xml:space="preserve">r women than </w:t>
      </w:r>
      <w:r w:rsidRPr="004C731D">
        <w:rPr>
          <w:rFonts w:asciiTheme="majorBidi" w:hAnsiTheme="majorBidi"/>
          <w:color w:val="000000"/>
          <w:sz w:val="24"/>
        </w:rPr>
        <w:t>men.</w:t>
      </w:r>
    </w:p>
    <w:p w14:paraId="7795F774" w14:textId="77777777" w:rsidR="007648BB" w:rsidRPr="00666047" w:rsidRDefault="007648BB" w:rsidP="007648BB">
      <w:pPr>
        <w:spacing w:after="0" w:line="240" w:lineRule="auto"/>
        <w:jc w:val="both"/>
        <w:rPr>
          <w:rFonts w:asciiTheme="majorBidi" w:hAnsiTheme="majorBidi"/>
          <w:color w:val="000000"/>
          <w:sz w:val="24"/>
        </w:rPr>
      </w:pPr>
    </w:p>
    <w:p w14:paraId="4F430704" w14:textId="77777777" w:rsidR="007648BB" w:rsidRPr="004C731D" w:rsidRDefault="007648BB" w:rsidP="007648BB">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As for informal employment, </w:t>
      </w:r>
      <w:r>
        <w:rPr>
          <w:rFonts w:asciiTheme="majorBidi" w:hAnsiTheme="majorBidi" w:cstheme="majorBidi"/>
          <w:color w:val="000000"/>
          <w:sz w:val="24"/>
          <w:szCs w:val="24"/>
        </w:rPr>
        <w:t xml:space="preserve">we observed </w:t>
      </w:r>
      <w:r w:rsidRPr="004C731D">
        <w:rPr>
          <w:rFonts w:asciiTheme="majorBidi" w:hAnsiTheme="majorBidi"/>
          <w:color w:val="000000"/>
          <w:sz w:val="24"/>
        </w:rPr>
        <w:t>in both genders an independent dynamic, as me</w:t>
      </w:r>
      <w:r w:rsidRPr="00666047">
        <w:rPr>
          <w:rFonts w:asciiTheme="majorBidi" w:hAnsiTheme="majorBidi"/>
          <w:color w:val="000000"/>
          <w:sz w:val="24"/>
        </w:rPr>
        <w:t>ntioned in the dynamics of the model (Table 4), where informal employment seems to have self-determined behavioral dynamics</w:t>
      </w:r>
      <w:r>
        <w:rPr>
          <w:rFonts w:asciiTheme="majorBidi" w:hAnsiTheme="majorBidi" w:cstheme="majorBidi"/>
          <w:color w:val="000000"/>
          <w:sz w:val="24"/>
          <w:szCs w:val="24"/>
        </w:rPr>
        <w:t xml:space="preserve"> (</w:t>
      </w:r>
      <w:r w:rsidRPr="004C731D">
        <w:rPr>
          <w:rFonts w:asciiTheme="majorBidi" w:hAnsiTheme="majorBidi"/>
          <w:color w:val="000000"/>
          <w:sz w:val="24"/>
        </w:rPr>
        <w:t>i.e</w:t>
      </w:r>
      <w:r w:rsidRPr="004932B4">
        <w:rPr>
          <w:rFonts w:asciiTheme="majorBidi" w:hAnsiTheme="majorBidi" w:cstheme="majorBidi"/>
          <w:color w:val="000000"/>
          <w:sz w:val="24"/>
          <w:szCs w:val="24"/>
        </w:rPr>
        <w:t>.</w:t>
      </w:r>
      <w:r>
        <w:rPr>
          <w:rFonts w:asciiTheme="majorBidi" w:hAnsiTheme="majorBidi" w:cstheme="majorBidi"/>
          <w:color w:val="000000"/>
          <w:sz w:val="24"/>
          <w:szCs w:val="24"/>
        </w:rPr>
        <w:t>,</w:t>
      </w:r>
      <w:r w:rsidRPr="004C731D">
        <w:rPr>
          <w:rFonts w:asciiTheme="majorBidi" w:hAnsiTheme="majorBidi"/>
          <w:color w:val="000000"/>
          <w:sz w:val="24"/>
        </w:rPr>
        <w:t xml:space="preserve"> it is inelastic t</w:t>
      </w:r>
      <w:r w:rsidRPr="0016142F">
        <w:rPr>
          <w:rFonts w:asciiTheme="majorBidi" w:hAnsiTheme="majorBidi"/>
          <w:color w:val="000000"/>
          <w:sz w:val="24"/>
        </w:rPr>
        <w:t>o economic shocks and only shows a persistence to its own series</w:t>
      </w:r>
      <w:r>
        <w:rPr>
          <w:rFonts w:asciiTheme="majorBidi" w:hAnsiTheme="majorBidi" w:cstheme="majorBidi"/>
          <w:color w:val="000000"/>
          <w:sz w:val="24"/>
          <w:szCs w:val="24"/>
        </w:rPr>
        <w:t>)</w:t>
      </w:r>
      <w:r w:rsidRPr="004932B4">
        <w:rPr>
          <w:rFonts w:asciiTheme="majorBidi" w:hAnsiTheme="majorBidi" w:cstheme="majorBidi"/>
          <w:color w:val="000000"/>
          <w:sz w:val="24"/>
          <w:szCs w:val="24"/>
        </w:rPr>
        <w:t>.</w:t>
      </w:r>
    </w:p>
    <w:p w14:paraId="26863BF0" w14:textId="5970F141" w:rsidR="00613E23" w:rsidRDefault="00613E23" w:rsidP="00613E23">
      <w:pPr>
        <w:spacing w:after="0" w:line="240" w:lineRule="auto"/>
        <w:rPr>
          <w:rFonts w:asciiTheme="majorBidi" w:hAnsiTheme="majorBidi"/>
          <w:color w:val="000000"/>
          <w:sz w:val="24"/>
        </w:rPr>
      </w:pPr>
    </w:p>
    <w:tbl>
      <w:tblPr>
        <w:tblStyle w:val="Tablaconcuadrcula"/>
        <w:tblW w:w="988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820"/>
      </w:tblGrid>
      <w:tr w:rsidR="00613E23" w:rsidRPr="00914823" w14:paraId="252F7E44" w14:textId="77777777" w:rsidTr="0019039D">
        <w:tc>
          <w:tcPr>
            <w:tcW w:w="9880" w:type="dxa"/>
            <w:gridSpan w:val="2"/>
          </w:tcPr>
          <w:p w14:paraId="171B1DFF" w14:textId="77777777" w:rsidR="00613E23" w:rsidRPr="00DB7DBB" w:rsidRDefault="00613E23" w:rsidP="00613E23">
            <w:pPr>
              <w:rPr>
                <w:rFonts w:asciiTheme="majorBidi" w:hAnsiTheme="majorBidi" w:cstheme="majorBidi"/>
                <w:b/>
                <w:sz w:val="20"/>
                <w:szCs w:val="20"/>
              </w:rPr>
            </w:pPr>
            <w:r w:rsidRPr="00DB7DBB">
              <w:rPr>
                <w:rFonts w:asciiTheme="majorBidi" w:hAnsiTheme="majorBidi" w:cstheme="majorBidi"/>
                <w:b/>
                <w:sz w:val="20"/>
                <w:szCs w:val="20"/>
              </w:rPr>
              <w:lastRenderedPageBreak/>
              <w:t>Figure 1. Impulse response function</w:t>
            </w:r>
            <w:r w:rsidR="00C56D67" w:rsidRPr="00DB7DBB">
              <w:rPr>
                <w:rFonts w:asciiTheme="majorBidi" w:hAnsiTheme="majorBidi" w:cstheme="majorBidi"/>
                <w:b/>
                <w:sz w:val="20"/>
                <w:szCs w:val="20"/>
              </w:rPr>
              <w:t xml:space="preserve"> to</w:t>
            </w:r>
            <w:r w:rsidRPr="00DB7DBB">
              <w:rPr>
                <w:rFonts w:asciiTheme="majorBidi" w:hAnsiTheme="majorBidi" w:cstheme="majorBidi"/>
                <w:b/>
                <w:sz w:val="20"/>
                <w:szCs w:val="20"/>
              </w:rPr>
              <w:t xml:space="preserve"> </w:t>
            </w:r>
            <w:r w:rsidR="00C56D67" w:rsidRPr="00DB7DBB">
              <w:rPr>
                <w:rFonts w:asciiTheme="majorBidi" w:hAnsiTheme="majorBidi" w:cstheme="majorBidi"/>
                <w:b/>
                <w:sz w:val="20"/>
                <w:szCs w:val="20"/>
              </w:rPr>
              <w:t>n</w:t>
            </w:r>
            <w:r w:rsidRPr="00DB7DBB">
              <w:rPr>
                <w:rFonts w:asciiTheme="majorBidi" w:hAnsiTheme="majorBidi" w:cstheme="majorBidi"/>
                <w:b/>
                <w:sz w:val="20"/>
                <w:szCs w:val="20"/>
              </w:rPr>
              <w:t>egative shock in PIB</w:t>
            </w:r>
            <w:r w:rsidR="00C56D67" w:rsidRPr="00DB7DBB">
              <w:rPr>
                <w:rFonts w:asciiTheme="majorBidi" w:hAnsiTheme="majorBidi" w:cstheme="majorBidi"/>
                <w:b/>
                <w:sz w:val="20"/>
                <w:szCs w:val="20"/>
              </w:rPr>
              <w:t xml:space="preserve"> related to COVID-19</w:t>
            </w:r>
          </w:p>
          <w:p w14:paraId="14E80C60" w14:textId="1F425627" w:rsidR="00DB7DBB" w:rsidRPr="00C56D67" w:rsidRDefault="00DB7DBB" w:rsidP="00613E23">
            <w:pPr>
              <w:rPr>
                <w:rFonts w:asciiTheme="majorBidi" w:hAnsiTheme="majorBidi" w:cstheme="majorBidi"/>
                <w:b/>
                <w:sz w:val="24"/>
                <w:szCs w:val="24"/>
              </w:rPr>
            </w:pPr>
            <w:r w:rsidRPr="00DB7DBB">
              <w:rPr>
                <w:rFonts w:asciiTheme="majorBidi" w:hAnsiTheme="majorBidi" w:cstheme="majorBidi"/>
                <w:b/>
                <w:sz w:val="20"/>
                <w:szCs w:val="20"/>
              </w:rPr>
              <w:t xml:space="preserve">Time set: quarters after initial </w:t>
            </w:r>
            <w:r w:rsidR="00B875CC">
              <w:rPr>
                <w:rFonts w:asciiTheme="majorBidi" w:hAnsiTheme="majorBidi" w:cstheme="majorBidi"/>
                <w:b/>
                <w:sz w:val="20"/>
                <w:szCs w:val="20"/>
              </w:rPr>
              <w:t xml:space="preserve">COVID-19 production </w:t>
            </w:r>
            <w:r w:rsidRPr="00DB7DBB">
              <w:rPr>
                <w:rFonts w:asciiTheme="majorBidi" w:hAnsiTheme="majorBidi" w:cstheme="majorBidi"/>
                <w:b/>
                <w:sz w:val="20"/>
                <w:szCs w:val="20"/>
              </w:rPr>
              <w:t>shock</w:t>
            </w:r>
          </w:p>
        </w:tc>
      </w:tr>
      <w:tr w:rsidR="00613E23" w14:paraId="20638C28" w14:textId="77777777" w:rsidTr="0019039D">
        <w:tc>
          <w:tcPr>
            <w:tcW w:w="9880" w:type="dxa"/>
            <w:gridSpan w:val="2"/>
          </w:tcPr>
          <w:p w14:paraId="2A0BC3CE"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Men</w:t>
            </w:r>
          </w:p>
        </w:tc>
      </w:tr>
      <w:tr w:rsidR="00613E23" w14:paraId="2CF27873" w14:textId="77777777" w:rsidTr="0019039D">
        <w:tc>
          <w:tcPr>
            <w:tcW w:w="5060" w:type="dxa"/>
          </w:tcPr>
          <w:p w14:paraId="2604979A"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Formal employment</w:t>
            </w:r>
          </w:p>
        </w:tc>
        <w:tc>
          <w:tcPr>
            <w:tcW w:w="4820" w:type="dxa"/>
          </w:tcPr>
          <w:p w14:paraId="1938A3D9"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Informal employment</w:t>
            </w:r>
          </w:p>
        </w:tc>
      </w:tr>
      <w:tr w:rsidR="00613E23" w14:paraId="225A58F5" w14:textId="77777777" w:rsidTr="0019039D">
        <w:tblPrEx>
          <w:tblCellMar>
            <w:left w:w="70" w:type="dxa"/>
            <w:right w:w="70" w:type="dxa"/>
          </w:tblCellMar>
        </w:tblPrEx>
        <w:trPr>
          <w:trHeight w:val="3280"/>
        </w:trPr>
        <w:tc>
          <w:tcPr>
            <w:tcW w:w="5060" w:type="dxa"/>
          </w:tcPr>
          <w:p w14:paraId="6D03AB97" w14:textId="18A03C6B" w:rsidR="00613E23" w:rsidRDefault="00C867FB" w:rsidP="00613E23">
            <w:pPr>
              <w:jc w:val="both"/>
              <w:rPr>
                <w:rFonts w:asciiTheme="majorBidi" w:hAnsiTheme="majorBidi" w:cstheme="majorBidi"/>
                <w:bCs/>
                <w:sz w:val="24"/>
                <w:szCs w:val="24"/>
              </w:rPr>
            </w:pPr>
            <w:r>
              <w:rPr>
                <w:noProof/>
              </w:rPr>
              <w:drawing>
                <wp:anchor distT="0" distB="0" distL="114300" distR="114300" simplePos="0" relativeHeight="251668480" behindDoc="0" locked="0" layoutInCell="1" allowOverlap="1" wp14:anchorId="563A9010" wp14:editId="579AC2C4">
                  <wp:simplePos x="0" y="0"/>
                  <wp:positionH relativeFrom="column">
                    <wp:posOffset>-35560</wp:posOffset>
                  </wp:positionH>
                  <wp:positionV relativeFrom="paragraph">
                    <wp:posOffset>99695</wp:posOffset>
                  </wp:positionV>
                  <wp:extent cx="3117850" cy="1870710"/>
                  <wp:effectExtent l="0" t="0" r="6350" b="0"/>
                  <wp:wrapSquare wrapText="bothSides"/>
                  <wp:docPr id="1" name="Gráfico 1">
                    <a:extLst xmlns:a="http://schemas.openxmlformats.org/drawingml/2006/main">
                      <a:ext uri="{FF2B5EF4-FFF2-40B4-BE49-F238E27FC236}">
                        <a16:creationId xmlns:a16="http://schemas.microsoft.com/office/drawing/2014/main" id="{F7E02E16-C11E-4E9D-BF73-562E08243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4820" w:type="dxa"/>
          </w:tcPr>
          <w:p w14:paraId="40DABB90" w14:textId="331CFB72" w:rsidR="00613E23" w:rsidRDefault="0072671B" w:rsidP="00613E23">
            <w:pPr>
              <w:jc w:val="both"/>
              <w:rPr>
                <w:rFonts w:asciiTheme="majorBidi" w:hAnsiTheme="majorBidi" w:cstheme="majorBidi"/>
                <w:bCs/>
                <w:sz w:val="24"/>
                <w:szCs w:val="24"/>
              </w:rPr>
            </w:pPr>
            <w:r>
              <w:rPr>
                <w:noProof/>
              </w:rPr>
              <w:drawing>
                <wp:anchor distT="0" distB="0" distL="114300" distR="114300" simplePos="0" relativeHeight="251669504" behindDoc="0" locked="0" layoutInCell="1" allowOverlap="1" wp14:anchorId="79E71E8D" wp14:editId="055281C7">
                  <wp:simplePos x="0" y="0"/>
                  <wp:positionH relativeFrom="column">
                    <wp:posOffset>-44413</wp:posOffset>
                  </wp:positionH>
                  <wp:positionV relativeFrom="paragraph">
                    <wp:posOffset>115720</wp:posOffset>
                  </wp:positionV>
                  <wp:extent cx="2954020" cy="2008505"/>
                  <wp:effectExtent l="0" t="0" r="0" b="0"/>
                  <wp:wrapSquare wrapText="bothSides"/>
                  <wp:docPr id="2" name="Gráfico 2">
                    <a:extLst xmlns:a="http://schemas.openxmlformats.org/drawingml/2006/main">
                      <a:ext uri="{FF2B5EF4-FFF2-40B4-BE49-F238E27FC236}">
                        <a16:creationId xmlns:a16="http://schemas.microsoft.com/office/drawing/2014/main" id="{D0210B0A-4A4B-4B32-A1BD-63A135589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613E23" w14:paraId="293F519F" w14:textId="77777777" w:rsidTr="0019039D">
        <w:tc>
          <w:tcPr>
            <w:tcW w:w="9880" w:type="dxa"/>
            <w:gridSpan w:val="2"/>
          </w:tcPr>
          <w:p w14:paraId="7F137A14"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Women</w:t>
            </w:r>
          </w:p>
        </w:tc>
      </w:tr>
      <w:tr w:rsidR="00613E23" w14:paraId="56D69D3D" w14:textId="77777777" w:rsidTr="0019039D">
        <w:tc>
          <w:tcPr>
            <w:tcW w:w="5060" w:type="dxa"/>
          </w:tcPr>
          <w:p w14:paraId="7D2AFA14"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Formal employment</w:t>
            </w:r>
          </w:p>
        </w:tc>
        <w:tc>
          <w:tcPr>
            <w:tcW w:w="4820" w:type="dxa"/>
          </w:tcPr>
          <w:p w14:paraId="74C8CFBE" w14:textId="77777777" w:rsidR="00613E23" w:rsidRPr="00AC39B5" w:rsidRDefault="00613E23" w:rsidP="00613E23">
            <w:pPr>
              <w:jc w:val="center"/>
              <w:rPr>
                <w:rFonts w:asciiTheme="majorBidi" w:hAnsiTheme="majorBidi" w:cstheme="majorBidi"/>
                <w:bCs/>
                <w:sz w:val="20"/>
                <w:szCs w:val="20"/>
              </w:rPr>
            </w:pPr>
            <w:r w:rsidRPr="00AC39B5">
              <w:rPr>
                <w:rFonts w:asciiTheme="majorBidi" w:hAnsiTheme="majorBidi" w:cstheme="majorBidi"/>
                <w:bCs/>
                <w:sz w:val="20"/>
                <w:szCs w:val="20"/>
              </w:rPr>
              <w:t>Informal employment</w:t>
            </w:r>
          </w:p>
        </w:tc>
      </w:tr>
      <w:tr w:rsidR="00613E23" w14:paraId="4561AA13" w14:textId="77777777" w:rsidTr="0019039D">
        <w:tblPrEx>
          <w:tblCellMar>
            <w:left w:w="70" w:type="dxa"/>
            <w:right w:w="70" w:type="dxa"/>
          </w:tblCellMar>
        </w:tblPrEx>
        <w:trPr>
          <w:trHeight w:val="129"/>
        </w:trPr>
        <w:tc>
          <w:tcPr>
            <w:tcW w:w="5060" w:type="dxa"/>
          </w:tcPr>
          <w:p w14:paraId="025B18B0" w14:textId="44C466F0" w:rsidR="00613E23" w:rsidRDefault="0072671B" w:rsidP="00613E23">
            <w:pPr>
              <w:jc w:val="both"/>
              <w:rPr>
                <w:rFonts w:asciiTheme="majorBidi" w:hAnsiTheme="majorBidi" w:cstheme="majorBidi"/>
                <w:bCs/>
                <w:sz w:val="24"/>
                <w:szCs w:val="24"/>
              </w:rPr>
            </w:pPr>
            <w:r>
              <w:rPr>
                <w:noProof/>
              </w:rPr>
              <w:drawing>
                <wp:anchor distT="0" distB="0" distL="114300" distR="114300" simplePos="0" relativeHeight="251670528" behindDoc="0" locked="0" layoutInCell="1" allowOverlap="1" wp14:anchorId="3DADE7A5" wp14:editId="6BCAA14C">
                  <wp:simplePos x="0" y="0"/>
                  <wp:positionH relativeFrom="column">
                    <wp:posOffset>54610</wp:posOffset>
                  </wp:positionH>
                  <wp:positionV relativeFrom="paragraph">
                    <wp:posOffset>108585</wp:posOffset>
                  </wp:positionV>
                  <wp:extent cx="3041015" cy="1797050"/>
                  <wp:effectExtent l="0" t="0" r="6985" b="0"/>
                  <wp:wrapSquare wrapText="bothSides"/>
                  <wp:docPr id="3" name="Gráfico 3">
                    <a:extLst xmlns:a="http://schemas.openxmlformats.org/drawingml/2006/main">
                      <a:ext uri="{FF2B5EF4-FFF2-40B4-BE49-F238E27FC236}">
                        <a16:creationId xmlns:a16="http://schemas.microsoft.com/office/drawing/2014/main" id="{ADB9770B-78FA-4949-8E5A-BE7662819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4820" w:type="dxa"/>
          </w:tcPr>
          <w:p w14:paraId="7BCEBE26" w14:textId="7ACBD6C3" w:rsidR="00613E23" w:rsidRPr="004A302C" w:rsidRDefault="0072671B" w:rsidP="00613E23">
            <w:pPr>
              <w:jc w:val="both"/>
              <w:rPr>
                <w:rFonts w:asciiTheme="majorBidi" w:hAnsiTheme="majorBidi" w:cstheme="majorBidi"/>
                <w:bCs/>
                <w:sz w:val="24"/>
                <w:szCs w:val="24"/>
              </w:rPr>
            </w:pPr>
            <w:r>
              <w:rPr>
                <w:noProof/>
              </w:rPr>
              <w:drawing>
                <wp:anchor distT="0" distB="0" distL="114300" distR="114300" simplePos="0" relativeHeight="251671552" behindDoc="0" locked="0" layoutInCell="1" allowOverlap="1" wp14:anchorId="78FAFE15" wp14:editId="2271F233">
                  <wp:simplePos x="0" y="0"/>
                  <wp:positionH relativeFrom="column">
                    <wp:posOffset>-44450</wp:posOffset>
                  </wp:positionH>
                  <wp:positionV relativeFrom="paragraph">
                    <wp:posOffset>45085</wp:posOffset>
                  </wp:positionV>
                  <wp:extent cx="2964815" cy="1987550"/>
                  <wp:effectExtent l="0" t="0" r="6985" b="0"/>
                  <wp:wrapSquare wrapText="bothSides"/>
                  <wp:docPr id="4" name="Gráfico 4">
                    <a:extLst xmlns:a="http://schemas.openxmlformats.org/drawingml/2006/main">
                      <a:ext uri="{FF2B5EF4-FFF2-40B4-BE49-F238E27FC236}">
                        <a16:creationId xmlns:a16="http://schemas.microsoft.com/office/drawing/2014/main" id="{B2C3CF69-5374-4361-9146-BB24CCFF6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613E23" w:rsidRPr="00914823" w14:paraId="237C1A5C" w14:textId="77777777" w:rsidTr="0019039D">
        <w:trPr>
          <w:trHeight w:val="396"/>
        </w:trPr>
        <w:tc>
          <w:tcPr>
            <w:tcW w:w="9880" w:type="dxa"/>
            <w:gridSpan w:val="2"/>
          </w:tcPr>
          <w:p w14:paraId="4E3DC18A" w14:textId="30347272" w:rsidR="00613E23" w:rsidRDefault="00613E23" w:rsidP="00613E23">
            <w:pPr>
              <w:jc w:val="both"/>
              <w:rPr>
                <w:rFonts w:asciiTheme="majorBidi" w:hAnsiTheme="majorBidi" w:cstheme="majorBidi"/>
                <w:bCs/>
                <w:i/>
                <w:iCs/>
                <w:sz w:val="20"/>
                <w:szCs w:val="20"/>
              </w:rPr>
            </w:pPr>
            <w:r w:rsidRPr="00A65237">
              <w:rPr>
                <w:rFonts w:asciiTheme="majorBidi" w:hAnsiTheme="majorBidi" w:cstheme="majorBidi"/>
                <w:bCs/>
                <w:i/>
                <w:iCs/>
                <w:sz w:val="20"/>
                <w:szCs w:val="20"/>
              </w:rPr>
              <w:t>Source: Own estimations with time series constructed and homologized of employment surveys (ENEU-ENOE).</w:t>
            </w:r>
            <w:r>
              <w:rPr>
                <w:rFonts w:asciiTheme="majorBidi" w:hAnsiTheme="majorBidi" w:cstheme="majorBidi"/>
                <w:bCs/>
                <w:i/>
                <w:iCs/>
                <w:sz w:val="20"/>
                <w:szCs w:val="20"/>
              </w:rPr>
              <w:t xml:space="preserve"> </w:t>
            </w:r>
            <w:r w:rsidR="00317BF0">
              <w:rPr>
                <w:rFonts w:asciiTheme="majorBidi" w:hAnsiTheme="majorBidi" w:cstheme="majorBidi"/>
                <w:bCs/>
                <w:i/>
                <w:iCs/>
                <w:sz w:val="20"/>
                <w:szCs w:val="20"/>
              </w:rPr>
              <w:t>S</w:t>
            </w:r>
            <w:r w:rsidRPr="00A65237">
              <w:rPr>
                <w:rFonts w:asciiTheme="majorBidi" w:hAnsiTheme="majorBidi" w:cstheme="majorBidi"/>
                <w:bCs/>
                <w:i/>
                <w:iCs/>
                <w:sz w:val="20"/>
                <w:szCs w:val="20"/>
              </w:rPr>
              <w:t>easonally adjusted series</w:t>
            </w:r>
            <w:r>
              <w:rPr>
                <w:rFonts w:asciiTheme="majorBidi" w:hAnsiTheme="majorBidi" w:cstheme="majorBidi"/>
                <w:bCs/>
                <w:i/>
                <w:iCs/>
                <w:sz w:val="20"/>
                <w:szCs w:val="20"/>
              </w:rPr>
              <w:t xml:space="preserve"> presented by growth rates.</w:t>
            </w:r>
          </w:p>
          <w:p w14:paraId="2C2F0914" w14:textId="784954C2" w:rsidR="00613E23" w:rsidRPr="00613E23" w:rsidRDefault="00613E23" w:rsidP="00613E23">
            <w:pPr>
              <w:jc w:val="both"/>
              <w:rPr>
                <w:rFonts w:asciiTheme="majorBidi" w:hAnsiTheme="majorBidi" w:cstheme="majorBidi"/>
                <w:bCs/>
                <w:i/>
                <w:iCs/>
                <w:sz w:val="20"/>
                <w:szCs w:val="20"/>
              </w:rPr>
            </w:pPr>
            <w:r w:rsidRPr="004F36F4">
              <w:rPr>
                <w:rFonts w:asciiTheme="majorBidi" w:hAnsiTheme="majorBidi" w:cstheme="majorBidi"/>
                <w:bCs/>
                <w:i/>
                <w:iCs/>
                <w:sz w:val="20"/>
                <w:szCs w:val="20"/>
              </w:rPr>
              <w:t>Notes: confidence intervals 95%</w:t>
            </w:r>
          </w:p>
        </w:tc>
      </w:tr>
    </w:tbl>
    <w:p w14:paraId="41383934" w14:textId="77777777" w:rsidR="00A8001F" w:rsidRPr="00666047" w:rsidRDefault="00A8001F" w:rsidP="00DC6EDA">
      <w:pPr>
        <w:spacing w:after="0" w:line="240" w:lineRule="auto"/>
        <w:jc w:val="both"/>
        <w:rPr>
          <w:rFonts w:asciiTheme="majorBidi" w:hAnsiTheme="majorBidi"/>
          <w:color w:val="000000"/>
          <w:sz w:val="24"/>
        </w:rPr>
      </w:pPr>
    </w:p>
    <w:p w14:paraId="32A5C783" w14:textId="192DFBAB" w:rsidR="004932B4" w:rsidRPr="00666047" w:rsidRDefault="004932B4" w:rsidP="004A7601">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These impulse response functions allow us to model the I-shock </w:t>
      </w:r>
      <w:r w:rsidRPr="004C731D">
        <w:rPr>
          <w:rFonts w:asciiTheme="majorBidi" w:hAnsiTheme="majorBidi"/>
          <w:color w:val="000000"/>
          <w:sz w:val="24"/>
        </w:rPr>
        <w:t xml:space="preserve">observed in Mexico derived from </w:t>
      </w:r>
      <w:r w:rsidR="00056F51" w:rsidRPr="0016142F">
        <w:rPr>
          <w:rFonts w:asciiTheme="majorBidi" w:hAnsiTheme="majorBidi"/>
          <w:color w:val="000000"/>
          <w:sz w:val="24"/>
        </w:rPr>
        <w:t>COVID</w:t>
      </w:r>
      <w:r w:rsidRPr="0016142F">
        <w:rPr>
          <w:rFonts w:asciiTheme="majorBidi" w:hAnsiTheme="majorBidi"/>
          <w:color w:val="000000"/>
          <w:sz w:val="24"/>
        </w:rPr>
        <w:t>-19 in the first quarter of 2020</w:t>
      </w:r>
      <w:r w:rsidR="001A7577">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w:t>
      </w:r>
      <w:r w:rsidR="001A7577">
        <w:rPr>
          <w:rFonts w:asciiTheme="majorBidi" w:hAnsiTheme="majorBidi" w:cstheme="majorBidi"/>
          <w:color w:val="000000"/>
          <w:sz w:val="24"/>
          <w:szCs w:val="24"/>
        </w:rPr>
        <w:t>T</w:t>
      </w:r>
      <w:r w:rsidRPr="004932B4">
        <w:rPr>
          <w:rFonts w:asciiTheme="majorBidi" w:hAnsiTheme="majorBidi" w:cstheme="majorBidi"/>
          <w:color w:val="000000"/>
          <w:sz w:val="24"/>
          <w:szCs w:val="24"/>
        </w:rPr>
        <w:t>aking</w:t>
      </w:r>
      <w:r w:rsidRPr="004C731D">
        <w:rPr>
          <w:rFonts w:asciiTheme="majorBidi" w:hAnsiTheme="majorBidi"/>
          <w:color w:val="000000"/>
          <w:sz w:val="24"/>
        </w:rPr>
        <w:t xml:space="preserve"> these functions as results</w:t>
      </w:r>
      <w:r w:rsidR="001A7577">
        <w:rPr>
          <w:rFonts w:asciiTheme="majorBidi" w:hAnsiTheme="majorBidi" w:cstheme="majorBidi"/>
          <w:color w:val="000000"/>
          <w:sz w:val="24"/>
          <w:szCs w:val="24"/>
        </w:rPr>
        <w:t>,</w:t>
      </w:r>
      <w:r w:rsidRPr="004C731D">
        <w:rPr>
          <w:rFonts w:asciiTheme="majorBidi" w:hAnsiTheme="majorBidi"/>
          <w:color w:val="000000"/>
          <w:sz w:val="24"/>
        </w:rPr>
        <w:t xml:space="preserve"> we can differentiat</w:t>
      </w:r>
      <w:r w:rsidRPr="0016142F">
        <w:rPr>
          <w:rFonts w:asciiTheme="majorBidi" w:hAnsiTheme="majorBidi"/>
          <w:color w:val="000000"/>
          <w:sz w:val="24"/>
        </w:rPr>
        <w:t>e the first shock of the pandemic</w:t>
      </w:r>
      <w:r w:rsidR="00FF5F11">
        <w:rPr>
          <w:rFonts w:asciiTheme="majorBidi" w:hAnsiTheme="majorBidi"/>
          <w:color w:val="000000"/>
          <w:sz w:val="24"/>
        </w:rPr>
        <w:t>,</w:t>
      </w:r>
      <w:r w:rsidRPr="004C731D">
        <w:rPr>
          <w:rFonts w:asciiTheme="majorBidi" w:hAnsiTheme="majorBidi"/>
          <w:color w:val="000000"/>
          <w:sz w:val="24"/>
        </w:rPr>
        <w:t xml:space="preserve"> and with the support of the estimates of the trend and employment observed in the four quarters of 2020, we can differentiate between the employment losses derived from the exogenous shock and the losses derived from the s</w:t>
      </w:r>
      <w:r w:rsidRPr="0016142F">
        <w:rPr>
          <w:rFonts w:asciiTheme="majorBidi" w:hAnsiTheme="majorBidi"/>
          <w:color w:val="000000"/>
          <w:sz w:val="24"/>
        </w:rPr>
        <w:t>tructural effects triggered by the C</w:t>
      </w:r>
      <w:r w:rsidR="00AA53EC" w:rsidRPr="00666047">
        <w:rPr>
          <w:rFonts w:asciiTheme="majorBidi" w:hAnsiTheme="majorBidi"/>
          <w:color w:val="000000"/>
          <w:sz w:val="24"/>
        </w:rPr>
        <w:t>OVID</w:t>
      </w:r>
      <w:r w:rsidRPr="00666047">
        <w:rPr>
          <w:rFonts w:asciiTheme="majorBidi" w:hAnsiTheme="majorBidi"/>
          <w:color w:val="000000"/>
          <w:sz w:val="24"/>
        </w:rPr>
        <w:t>-19 crisis.</w:t>
      </w:r>
    </w:p>
    <w:p w14:paraId="2460026A" w14:textId="77777777" w:rsidR="0019039D" w:rsidRPr="00BE052D" w:rsidRDefault="0019039D" w:rsidP="00DC6EDA">
      <w:pPr>
        <w:spacing w:after="0" w:line="240" w:lineRule="auto"/>
        <w:jc w:val="both"/>
        <w:rPr>
          <w:rFonts w:asciiTheme="majorBidi" w:hAnsiTheme="majorBidi"/>
          <w:color w:val="000000"/>
          <w:sz w:val="24"/>
        </w:rPr>
      </w:pPr>
    </w:p>
    <w:p w14:paraId="6EC295B6" w14:textId="0053C03A" w:rsidR="004932B4" w:rsidRPr="00AA1CA4" w:rsidRDefault="004932B4"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4.3.1 Formal employment </w:t>
      </w:r>
      <w:r w:rsidR="0060243D" w:rsidRPr="00AA1CA4">
        <w:rPr>
          <w:rFonts w:asciiTheme="majorBidi" w:hAnsiTheme="majorBidi"/>
          <w:b/>
          <w:color w:val="000000"/>
          <w:sz w:val="24"/>
        </w:rPr>
        <w:t>by</w:t>
      </w:r>
      <w:r w:rsidRPr="00AA1CA4">
        <w:rPr>
          <w:rFonts w:asciiTheme="majorBidi" w:hAnsiTheme="majorBidi"/>
          <w:b/>
          <w:color w:val="000000"/>
          <w:sz w:val="24"/>
        </w:rPr>
        <w:t xml:space="preserve"> gender </w:t>
      </w:r>
    </w:p>
    <w:p w14:paraId="0873F463" w14:textId="77777777" w:rsidR="004849E7" w:rsidRPr="00AA1CA4" w:rsidRDefault="004849E7" w:rsidP="00DC6EDA">
      <w:pPr>
        <w:spacing w:after="0" w:line="240" w:lineRule="auto"/>
        <w:jc w:val="both"/>
        <w:rPr>
          <w:rFonts w:asciiTheme="majorBidi" w:hAnsiTheme="majorBidi"/>
          <w:b/>
          <w:color w:val="000000"/>
          <w:sz w:val="24"/>
        </w:rPr>
      </w:pPr>
    </w:p>
    <w:p w14:paraId="1B832A8E" w14:textId="2B50649F" w:rsidR="004932B4" w:rsidRPr="00294B9C" w:rsidRDefault="004932B4" w:rsidP="00DC6EDA">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Formal employment, as we have been analyzing, tends to be elastic to changes in the economy, so when there was an impact (I shock </w:t>
      </w:r>
      <w:r w:rsidR="00C86615" w:rsidRPr="00294B9C">
        <w:rPr>
          <w:rFonts w:asciiTheme="majorBidi" w:hAnsiTheme="majorBidi"/>
          <w:color w:val="000000"/>
          <w:sz w:val="24"/>
        </w:rPr>
        <w:t>COVID</w:t>
      </w:r>
      <w:r w:rsidRPr="00294B9C">
        <w:rPr>
          <w:rFonts w:asciiTheme="majorBidi" w:hAnsiTheme="majorBidi"/>
          <w:color w:val="000000"/>
          <w:sz w:val="24"/>
        </w:rPr>
        <w:t xml:space="preserve">-19) </w:t>
      </w:r>
      <w:r w:rsidR="00690D1D" w:rsidRPr="00294B9C">
        <w:rPr>
          <w:rFonts w:asciiTheme="majorBidi" w:hAnsiTheme="majorBidi"/>
          <w:color w:val="000000"/>
          <w:sz w:val="24"/>
        </w:rPr>
        <w:t xml:space="preserve">on </w:t>
      </w:r>
      <w:r w:rsidRPr="00294B9C">
        <w:rPr>
          <w:rFonts w:asciiTheme="majorBidi" w:hAnsiTheme="majorBidi"/>
          <w:color w:val="000000"/>
          <w:sz w:val="24"/>
        </w:rPr>
        <w:t>formal employment, both men and women reacted.</w:t>
      </w:r>
    </w:p>
    <w:p w14:paraId="3B45B95D" w14:textId="67173A9B" w:rsidR="004932B4" w:rsidRPr="00666047" w:rsidRDefault="00900035" w:rsidP="00CC48AF">
      <w:pPr>
        <w:spacing w:after="0" w:line="240" w:lineRule="auto"/>
        <w:jc w:val="both"/>
        <w:rPr>
          <w:rFonts w:asciiTheme="majorBidi" w:hAnsiTheme="majorBidi"/>
          <w:color w:val="000000"/>
          <w:sz w:val="24"/>
        </w:rPr>
      </w:pPr>
      <w:r>
        <w:rPr>
          <w:rFonts w:asciiTheme="majorBidi" w:hAnsiTheme="majorBidi"/>
          <w:color w:val="000000"/>
          <w:sz w:val="24"/>
        </w:rPr>
        <w:lastRenderedPageBreak/>
        <w:t>Figures</w:t>
      </w:r>
      <w:r w:rsidR="0060243D" w:rsidRPr="00294B9C">
        <w:rPr>
          <w:rFonts w:asciiTheme="majorBidi" w:hAnsiTheme="majorBidi"/>
          <w:color w:val="000000"/>
          <w:sz w:val="24"/>
        </w:rPr>
        <w:t xml:space="preserve"> 2</w:t>
      </w:r>
      <w:r w:rsidR="004932B4" w:rsidRPr="00294B9C">
        <w:rPr>
          <w:rFonts w:asciiTheme="majorBidi" w:hAnsiTheme="majorBidi"/>
          <w:color w:val="000000"/>
          <w:sz w:val="24"/>
        </w:rPr>
        <w:t xml:space="preserve"> and </w:t>
      </w:r>
      <w:r w:rsidR="0060243D" w:rsidRPr="00294B9C">
        <w:rPr>
          <w:rFonts w:asciiTheme="majorBidi" w:hAnsiTheme="majorBidi"/>
          <w:color w:val="000000"/>
          <w:sz w:val="24"/>
        </w:rPr>
        <w:t>3</w:t>
      </w:r>
      <w:r w:rsidR="004932B4" w:rsidRPr="00294B9C">
        <w:rPr>
          <w:rFonts w:asciiTheme="majorBidi" w:hAnsiTheme="majorBidi"/>
          <w:color w:val="000000"/>
          <w:sz w:val="24"/>
        </w:rPr>
        <w:t xml:space="preserve"> show the cumulative loss of employment</w:t>
      </w:r>
      <w:r w:rsidR="00D371D0" w:rsidRPr="00294B9C">
        <w:rPr>
          <w:rFonts w:asciiTheme="majorBidi" w:hAnsiTheme="majorBidi"/>
          <w:color w:val="000000"/>
          <w:sz w:val="24"/>
        </w:rPr>
        <w:t xml:space="preserve"> compared with</w:t>
      </w:r>
      <w:r w:rsidR="004932B4" w:rsidRPr="00294B9C">
        <w:rPr>
          <w:rFonts w:asciiTheme="majorBidi" w:hAnsiTheme="majorBidi"/>
          <w:color w:val="000000"/>
          <w:sz w:val="24"/>
        </w:rPr>
        <w:t xml:space="preserve"> its trend as an impact of the </w:t>
      </w:r>
      <w:r w:rsidR="00690D1D" w:rsidRPr="00294B9C">
        <w:rPr>
          <w:rFonts w:asciiTheme="majorBidi" w:hAnsiTheme="majorBidi"/>
          <w:color w:val="000000"/>
          <w:sz w:val="24"/>
        </w:rPr>
        <w:t>COVID</w:t>
      </w:r>
      <w:r w:rsidR="004932B4" w:rsidRPr="00294B9C">
        <w:rPr>
          <w:rFonts w:asciiTheme="majorBidi" w:hAnsiTheme="majorBidi"/>
          <w:color w:val="000000"/>
          <w:sz w:val="24"/>
        </w:rPr>
        <w:t>-19 crisis for men and women, respectively. Three series can be distinguished from the graph. The first one, the black one</w:t>
      </w:r>
      <w:r w:rsidR="0004068E">
        <w:rPr>
          <w:rFonts w:asciiTheme="majorBidi" w:hAnsiTheme="majorBidi" w:cstheme="majorBidi"/>
          <w:color w:val="000000"/>
          <w:sz w:val="24"/>
          <w:szCs w:val="24"/>
        </w:rPr>
        <w:t>,</w:t>
      </w:r>
      <w:r w:rsidR="004932B4" w:rsidRPr="004C731D">
        <w:rPr>
          <w:rFonts w:asciiTheme="majorBidi" w:hAnsiTheme="majorBidi"/>
          <w:color w:val="000000"/>
          <w:sz w:val="24"/>
        </w:rPr>
        <w:t xml:space="preserve"> rep</w:t>
      </w:r>
      <w:r w:rsidR="004932B4" w:rsidRPr="0016142F">
        <w:rPr>
          <w:rFonts w:asciiTheme="majorBidi" w:hAnsiTheme="majorBidi"/>
          <w:color w:val="000000"/>
          <w:sz w:val="24"/>
        </w:rPr>
        <w:t xml:space="preserve">resents observed employment, which </w:t>
      </w:r>
      <w:r w:rsidR="00A46182">
        <w:rPr>
          <w:rFonts w:asciiTheme="majorBidi" w:hAnsiTheme="majorBidi"/>
          <w:color w:val="000000"/>
          <w:sz w:val="24"/>
        </w:rPr>
        <w:t>we</w:t>
      </w:r>
      <w:r w:rsidR="00A46182" w:rsidRPr="004C731D">
        <w:rPr>
          <w:rFonts w:asciiTheme="majorBidi" w:hAnsiTheme="majorBidi"/>
          <w:color w:val="000000"/>
          <w:sz w:val="24"/>
        </w:rPr>
        <w:t xml:space="preserve"> </w:t>
      </w:r>
      <w:r w:rsidR="004932B4" w:rsidRPr="0016142F">
        <w:rPr>
          <w:rFonts w:asciiTheme="majorBidi" w:hAnsiTheme="majorBidi"/>
          <w:color w:val="000000"/>
          <w:sz w:val="24"/>
        </w:rPr>
        <w:t xml:space="preserve">obtained from the ENOE for our sample. </w:t>
      </w:r>
      <w:r w:rsidR="00CC48AF">
        <w:rPr>
          <w:rFonts w:asciiTheme="majorBidi" w:hAnsiTheme="majorBidi"/>
          <w:color w:val="000000"/>
          <w:sz w:val="24"/>
        </w:rPr>
        <w:t>We only calculated</w:t>
      </w:r>
      <w:r w:rsidR="00CC48AF" w:rsidRPr="00A46182">
        <w:rPr>
          <w:rFonts w:asciiTheme="majorBidi" w:hAnsiTheme="majorBidi"/>
          <w:color w:val="000000"/>
          <w:sz w:val="24"/>
        </w:rPr>
        <w:t xml:space="preserve"> </w:t>
      </w:r>
      <w:r w:rsidR="004932B4" w:rsidRPr="004C731D">
        <w:rPr>
          <w:rFonts w:asciiTheme="majorBidi" w:hAnsiTheme="majorBidi"/>
          <w:color w:val="000000"/>
          <w:sz w:val="24"/>
        </w:rPr>
        <w:t>the second quarter of 2020 from the Telephone Occupation and Employment Survey, which was an extension of the previous survey</w:t>
      </w:r>
      <w:r w:rsidR="00CC48AF">
        <w:rPr>
          <w:rFonts w:asciiTheme="majorBidi" w:hAnsiTheme="majorBidi"/>
          <w:color w:val="000000"/>
          <w:sz w:val="24"/>
        </w:rPr>
        <w:t>,</w:t>
      </w:r>
      <w:r w:rsidR="004932B4" w:rsidRPr="004C731D">
        <w:rPr>
          <w:rFonts w:asciiTheme="majorBidi" w:hAnsiTheme="majorBidi"/>
          <w:color w:val="000000"/>
          <w:sz w:val="24"/>
        </w:rPr>
        <w:t xml:space="preserve"> because the second quarter of the</w:t>
      </w:r>
      <w:r w:rsidR="004932B4" w:rsidRPr="0016142F">
        <w:rPr>
          <w:rFonts w:asciiTheme="majorBidi" w:hAnsiTheme="majorBidi"/>
          <w:color w:val="000000"/>
          <w:sz w:val="24"/>
        </w:rPr>
        <w:t xml:space="preserve"> employment survey </w:t>
      </w:r>
      <w:r w:rsidR="00CC48AF">
        <w:rPr>
          <w:rFonts w:asciiTheme="majorBidi" w:hAnsiTheme="majorBidi"/>
          <w:color w:val="000000"/>
          <w:sz w:val="24"/>
        </w:rPr>
        <w:t>took place</w:t>
      </w:r>
      <w:r w:rsidR="00CC48AF" w:rsidRPr="004C731D">
        <w:rPr>
          <w:rFonts w:asciiTheme="majorBidi" w:hAnsiTheme="majorBidi"/>
          <w:color w:val="000000"/>
          <w:sz w:val="24"/>
        </w:rPr>
        <w:t xml:space="preserve"> </w:t>
      </w:r>
      <w:r w:rsidR="004932B4" w:rsidRPr="0016142F">
        <w:rPr>
          <w:rFonts w:asciiTheme="majorBidi" w:hAnsiTheme="majorBidi"/>
          <w:color w:val="000000"/>
          <w:sz w:val="24"/>
        </w:rPr>
        <w:t xml:space="preserve">when we were in confinement. The red dotted line is the estimate of the long-term growth trend, and we </w:t>
      </w:r>
      <w:r w:rsidR="004932B4" w:rsidRPr="00A46182">
        <w:rPr>
          <w:rFonts w:asciiTheme="majorBidi" w:hAnsiTheme="majorBidi"/>
          <w:color w:val="000000"/>
          <w:sz w:val="24"/>
        </w:rPr>
        <w:t>forecast</w:t>
      </w:r>
      <w:r w:rsidR="00CC48AF">
        <w:rPr>
          <w:rFonts w:asciiTheme="majorBidi" w:hAnsiTheme="majorBidi"/>
          <w:color w:val="000000"/>
          <w:sz w:val="24"/>
        </w:rPr>
        <w:t>ed</w:t>
      </w:r>
      <w:r w:rsidR="004932B4" w:rsidRPr="004C731D">
        <w:rPr>
          <w:rFonts w:asciiTheme="majorBidi" w:hAnsiTheme="majorBidi"/>
          <w:color w:val="000000"/>
          <w:sz w:val="24"/>
        </w:rPr>
        <w:t xml:space="preserve"> this from our VAR model. </w:t>
      </w:r>
      <w:r w:rsidR="00A46182">
        <w:rPr>
          <w:rFonts w:asciiTheme="majorBidi" w:hAnsiTheme="majorBidi"/>
          <w:color w:val="000000"/>
          <w:sz w:val="24"/>
        </w:rPr>
        <w:t>F</w:t>
      </w:r>
      <w:r w:rsidR="004932B4" w:rsidRPr="00A46182">
        <w:rPr>
          <w:rFonts w:asciiTheme="majorBidi" w:hAnsiTheme="majorBidi"/>
          <w:color w:val="000000"/>
          <w:sz w:val="24"/>
        </w:rPr>
        <w:t>inally</w:t>
      </w:r>
      <w:r w:rsidR="004932B4" w:rsidRPr="004C731D">
        <w:rPr>
          <w:rFonts w:asciiTheme="majorBidi" w:hAnsiTheme="majorBidi"/>
          <w:color w:val="000000"/>
          <w:sz w:val="24"/>
        </w:rPr>
        <w:t xml:space="preserve">, the gray line is the estimate of the </w:t>
      </w:r>
      <w:r w:rsidR="00583C6F" w:rsidRPr="0016142F">
        <w:rPr>
          <w:rFonts w:asciiTheme="majorBidi" w:hAnsiTheme="majorBidi"/>
          <w:color w:val="000000"/>
          <w:sz w:val="24"/>
        </w:rPr>
        <w:t>COVID</w:t>
      </w:r>
      <w:r w:rsidR="004932B4" w:rsidRPr="0016142F">
        <w:rPr>
          <w:rFonts w:asciiTheme="majorBidi" w:hAnsiTheme="majorBidi"/>
          <w:color w:val="000000"/>
          <w:sz w:val="24"/>
        </w:rPr>
        <w:t xml:space="preserve">-19 negative I-shock on employment, and we </w:t>
      </w:r>
      <w:r w:rsidR="004932B4" w:rsidRPr="00A46182">
        <w:rPr>
          <w:rFonts w:asciiTheme="majorBidi" w:hAnsiTheme="majorBidi"/>
          <w:color w:val="000000"/>
          <w:sz w:val="24"/>
        </w:rPr>
        <w:t>calculate</w:t>
      </w:r>
      <w:r w:rsidR="00CC48AF">
        <w:rPr>
          <w:rFonts w:asciiTheme="majorBidi" w:hAnsiTheme="majorBidi"/>
          <w:color w:val="000000"/>
          <w:sz w:val="24"/>
        </w:rPr>
        <w:t>d</w:t>
      </w:r>
      <w:r w:rsidR="004932B4" w:rsidRPr="004C731D">
        <w:rPr>
          <w:rFonts w:asciiTheme="majorBidi" w:hAnsiTheme="majorBidi"/>
          <w:color w:val="000000"/>
          <w:sz w:val="24"/>
        </w:rPr>
        <w:t xml:space="preserve"> this projection from the impulse response function (adding the negative GDP shock) and </w:t>
      </w:r>
      <w:r w:rsidR="00CC48AF">
        <w:rPr>
          <w:rFonts w:asciiTheme="majorBidi" w:hAnsiTheme="majorBidi"/>
          <w:color w:val="000000"/>
          <w:sz w:val="24"/>
        </w:rPr>
        <w:t>added</w:t>
      </w:r>
      <w:r w:rsidR="00CC48AF" w:rsidRPr="004C731D">
        <w:rPr>
          <w:rFonts w:asciiTheme="majorBidi" w:hAnsiTheme="majorBidi"/>
          <w:color w:val="000000"/>
          <w:sz w:val="24"/>
        </w:rPr>
        <w:t xml:space="preserve"> </w:t>
      </w:r>
      <w:r w:rsidR="004932B4" w:rsidRPr="0016142F">
        <w:rPr>
          <w:rFonts w:asciiTheme="majorBidi" w:hAnsiTheme="majorBidi"/>
          <w:color w:val="000000"/>
          <w:sz w:val="24"/>
        </w:rPr>
        <w:t>the long-run employment growth.</w:t>
      </w:r>
    </w:p>
    <w:p w14:paraId="6F399C0C" w14:textId="77777777" w:rsidR="00583C6F" w:rsidRPr="00666047" w:rsidRDefault="00583C6F" w:rsidP="00DC6EDA">
      <w:pPr>
        <w:spacing w:after="0" w:line="240" w:lineRule="auto"/>
        <w:jc w:val="both"/>
        <w:rPr>
          <w:rFonts w:asciiTheme="majorBidi" w:hAnsiTheme="majorBidi"/>
          <w:color w:val="000000"/>
          <w:sz w:val="24"/>
        </w:rPr>
      </w:pPr>
    </w:p>
    <w:p w14:paraId="5493B3AA" w14:textId="70EEFDAA" w:rsidR="004932B4" w:rsidRDefault="004932B4" w:rsidP="007909E5">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The loss in employment was deeper for women than </w:t>
      </w:r>
      <w:r w:rsidRPr="004C731D">
        <w:rPr>
          <w:rFonts w:asciiTheme="majorBidi" w:hAnsiTheme="majorBidi"/>
          <w:color w:val="000000"/>
          <w:sz w:val="24"/>
        </w:rPr>
        <w:t>men. In percentage terms, the minimum point of the drop in employment fo</w:t>
      </w:r>
      <w:r w:rsidRPr="0016142F">
        <w:rPr>
          <w:rFonts w:asciiTheme="majorBidi" w:hAnsiTheme="majorBidi"/>
          <w:color w:val="000000"/>
          <w:sz w:val="24"/>
        </w:rPr>
        <w:t xml:space="preserve">r men was in the third quarter of 2020, which represented -8.35%, while </w:t>
      </w:r>
      <w:r w:rsidR="0004068E">
        <w:rPr>
          <w:rFonts w:asciiTheme="majorBidi" w:hAnsiTheme="majorBidi" w:cstheme="majorBidi"/>
          <w:color w:val="000000"/>
          <w:sz w:val="24"/>
          <w:szCs w:val="24"/>
        </w:rPr>
        <w:t>it was -9.6%</w:t>
      </w:r>
      <w:r w:rsidR="0004068E" w:rsidRPr="004932B4">
        <w:rPr>
          <w:rFonts w:asciiTheme="majorBidi" w:hAnsiTheme="majorBidi" w:cstheme="majorBidi"/>
          <w:color w:val="000000"/>
          <w:sz w:val="24"/>
          <w:szCs w:val="24"/>
        </w:rPr>
        <w:t xml:space="preserve"> </w:t>
      </w:r>
      <w:r w:rsidRPr="004C731D">
        <w:rPr>
          <w:rFonts w:asciiTheme="majorBidi" w:hAnsiTheme="majorBidi"/>
          <w:color w:val="000000"/>
          <w:sz w:val="24"/>
        </w:rPr>
        <w:t>for women in the same period</w:t>
      </w:r>
      <w:r w:rsidR="0004068E">
        <w:rPr>
          <w:rFonts w:asciiTheme="majorBidi" w:hAnsiTheme="majorBidi" w:cstheme="majorBidi"/>
          <w:color w:val="000000"/>
          <w:sz w:val="24"/>
          <w:szCs w:val="24"/>
        </w:rPr>
        <w:t>.</w:t>
      </w:r>
      <w:r w:rsidRPr="004C731D">
        <w:rPr>
          <w:rFonts w:asciiTheme="majorBidi" w:hAnsiTheme="majorBidi"/>
          <w:color w:val="000000"/>
          <w:sz w:val="24"/>
        </w:rPr>
        <w:t xml:space="preserve"> This result coincides with the scenarios presented by the IDB (2020</w:t>
      </w:r>
      <w:r w:rsidRPr="004932B4">
        <w:rPr>
          <w:rFonts w:asciiTheme="majorBidi" w:hAnsiTheme="majorBidi" w:cstheme="majorBidi"/>
          <w:color w:val="000000"/>
          <w:sz w:val="24"/>
          <w:szCs w:val="24"/>
        </w:rPr>
        <w:t>)</w:t>
      </w:r>
      <w:r w:rsidR="007909E5">
        <w:rPr>
          <w:rFonts w:asciiTheme="majorBidi" w:hAnsiTheme="majorBidi" w:cstheme="majorBidi"/>
          <w:color w:val="000000"/>
          <w:sz w:val="24"/>
          <w:szCs w:val="24"/>
        </w:rPr>
        <w:t>:</w:t>
      </w:r>
      <w:r w:rsidRPr="004C731D">
        <w:rPr>
          <w:rFonts w:asciiTheme="majorBidi" w:hAnsiTheme="majorBidi"/>
          <w:color w:val="000000"/>
          <w:sz w:val="24"/>
        </w:rPr>
        <w:t xml:space="preserve"> in particular</w:t>
      </w:r>
      <w:r w:rsidR="002D2E99" w:rsidRPr="0016142F">
        <w:rPr>
          <w:rFonts w:asciiTheme="majorBidi" w:hAnsiTheme="majorBidi"/>
          <w:color w:val="000000"/>
          <w:sz w:val="24"/>
        </w:rPr>
        <w:t>,</w:t>
      </w:r>
      <w:r w:rsidRPr="0016142F">
        <w:rPr>
          <w:rFonts w:asciiTheme="majorBidi" w:hAnsiTheme="majorBidi"/>
          <w:color w:val="000000"/>
          <w:sz w:val="24"/>
        </w:rPr>
        <w:t xml:space="preserve"> it is close to their projections of loss of formal employment in the medium</w:t>
      </w:r>
      <w:r w:rsidR="002D2E99" w:rsidRPr="008E7169">
        <w:rPr>
          <w:rFonts w:asciiTheme="majorBidi" w:hAnsiTheme="majorBidi"/>
          <w:color w:val="000000"/>
          <w:sz w:val="24"/>
        </w:rPr>
        <w:t>-</w:t>
      </w:r>
      <w:r w:rsidRPr="008E7169">
        <w:rPr>
          <w:rFonts w:asciiTheme="majorBidi" w:hAnsiTheme="majorBidi"/>
          <w:color w:val="000000"/>
          <w:sz w:val="24"/>
        </w:rPr>
        <w:t xml:space="preserve">term scenario, in which they project a </w:t>
      </w:r>
      <w:r w:rsidR="007909E5" w:rsidRPr="00294B9C">
        <w:rPr>
          <w:rFonts w:asciiTheme="majorBidi" w:hAnsiTheme="majorBidi"/>
          <w:color w:val="000000"/>
          <w:sz w:val="24"/>
        </w:rPr>
        <w:t xml:space="preserve">7.7% </w:t>
      </w:r>
      <w:r w:rsidRPr="004C731D">
        <w:rPr>
          <w:rFonts w:asciiTheme="majorBidi" w:hAnsiTheme="majorBidi"/>
          <w:color w:val="000000"/>
          <w:sz w:val="24"/>
        </w:rPr>
        <w:t xml:space="preserve">drop in employment </w:t>
      </w:r>
      <w:r w:rsidRPr="0016142F">
        <w:rPr>
          <w:rFonts w:asciiTheme="majorBidi" w:hAnsiTheme="majorBidi"/>
          <w:color w:val="000000"/>
          <w:sz w:val="24"/>
        </w:rPr>
        <w:t>derived from a recession presented for more than three quarters, which is what we observe in our country.</w:t>
      </w:r>
    </w:p>
    <w:p w14:paraId="1B8647B0" w14:textId="33A3BA7D" w:rsidR="00900035" w:rsidRDefault="00900035" w:rsidP="007909E5">
      <w:pPr>
        <w:spacing w:after="0" w:line="240" w:lineRule="auto"/>
        <w:jc w:val="both"/>
        <w:rPr>
          <w:rFonts w:asciiTheme="majorBidi" w:hAnsiTheme="majorBidi"/>
          <w:color w:val="000000"/>
          <w:sz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237C55" w14:paraId="5AC5DAF9" w14:textId="77777777" w:rsidTr="000C4C9A">
        <w:trPr>
          <w:jc w:val="center"/>
        </w:trPr>
        <w:tc>
          <w:tcPr>
            <w:tcW w:w="8838" w:type="dxa"/>
          </w:tcPr>
          <w:p w14:paraId="5B11F3E1" w14:textId="18BE263E" w:rsidR="00237C55" w:rsidRPr="00B875CC" w:rsidRDefault="000C4C9A" w:rsidP="007909E5">
            <w:pPr>
              <w:jc w:val="both"/>
              <w:rPr>
                <w:rFonts w:asciiTheme="majorBidi" w:hAnsiTheme="majorBidi"/>
                <w:b/>
                <w:bCs/>
                <w:color w:val="000000"/>
                <w:sz w:val="20"/>
                <w:szCs w:val="18"/>
              </w:rPr>
            </w:pPr>
            <w:r w:rsidRPr="00B875CC">
              <w:rPr>
                <w:rFonts w:asciiTheme="majorBidi" w:hAnsiTheme="majorBidi"/>
                <w:b/>
                <w:bCs/>
                <w:color w:val="000000"/>
                <w:sz w:val="20"/>
                <w:szCs w:val="18"/>
              </w:rPr>
              <w:t xml:space="preserve">Figure 2. </w:t>
            </w:r>
            <w:r w:rsidR="00F45FF4" w:rsidRPr="00B875CC">
              <w:rPr>
                <w:rFonts w:asciiTheme="majorBidi" w:hAnsiTheme="majorBidi"/>
                <w:b/>
                <w:bCs/>
                <w:color w:val="000000"/>
                <w:sz w:val="20"/>
                <w:szCs w:val="18"/>
              </w:rPr>
              <w:t>COVID</w:t>
            </w:r>
            <w:r w:rsidRPr="00B875CC">
              <w:rPr>
                <w:rFonts w:asciiTheme="majorBidi" w:hAnsiTheme="majorBidi"/>
                <w:b/>
                <w:bCs/>
                <w:color w:val="000000"/>
                <w:sz w:val="20"/>
                <w:szCs w:val="18"/>
              </w:rPr>
              <w:t>-19 shock and structural effect on men</w:t>
            </w:r>
            <w:r w:rsidR="00317BF0">
              <w:rPr>
                <w:rFonts w:asciiTheme="majorBidi" w:hAnsiTheme="majorBidi"/>
                <w:b/>
                <w:bCs/>
                <w:color w:val="000000"/>
                <w:sz w:val="20"/>
                <w:szCs w:val="18"/>
              </w:rPr>
              <w:t>'</w:t>
            </w:r>
            <w:r w:rsidRPr="00B875CC">
              <w:rPr>
                <w:rFonts w:asciiTheme="majorBidi" w:hAnsiTheme="majorBidi"/>
                <w:b/>
                <w:bCs/>
                <w:color w:val="000000"/>
                <w:sz w:val="20"/>
                <w:szCs w:val="18"/>
              </w:rPr>
              <w:t>s formal labor market</w:t>
            </w:r>
          </w:p>
        </w:tc>
      </w:tr>
      <w:tr w:rsidR="00237C55" w14:paraId="503B9ED3" w14:textId="77777777" w:rsidTr="00AB5FD0">
        <w:tblPrEx>
          <w:tblCellMar>
            <w:left w:w="70" w:type="dxa"/>
            <w:right w:w="70" w:type="dxa"/>
          </w:tblCellMar>
        </w:tblPrEx>
        <w:trPr>
          <w:jc w:val="center"/>
        </w:trPr>
        <w:tc>
          <w:tcPr>
            <w:tcW w:w="8838" w:type="dxa"/>
          </w:tcPr>
          <w:p w14:paraId="5D318802" w14:textId="2120122B" w:rsidR="00237C55" w:rsidRDefault="00AB5FD0" w:rsidP="007909E5">
            <w:pPr>
              <w:jc w:val="both"/>
              <w:rPr>
                <w:rFonts w:asciiTheme="majorBidi" w:hAnsiTheme="majorBidi"/>
                <w:color w:val="000000"/>
                <w:sz w:val="24"/>
              </w:rPr>
            </w:pPr>
            <w:r>
              <w:rPr>
                <w:noProof/>
              </w:rPr>
              <w:drawing>
                <wp:anchor distT="0" distB="0" distL="114300" distR="114300" simplePos="0" relativeHeight="251672576" behindDoc="0" locked="0" layoutInCell="1" allowOverlap="1" wp14:anchorId="6665CD24" wp14:editId="21E3CA84">
                  <wp:simplePos x="0" y="0"/>
                  <wp:positionH relativeFrom="column">
                    <wp:posOffset>-43815</wp:posOffset>
                  </wp:positionH>
                  <wp:positionV relativeFrom="paragraph">
                    <wp:posOffset>20320</wp:posOffset>
                  </wp:positionV>
                  <wp:extent cx="5448935" cy="3007360"/>
                  <wp:effectExtent l="0" t="0" r="0" b="2540"/>
                  <wp:wrapSquare wrapText="bothSides"/>
                  <wp:docPr id="6" name="Gráfico 6">
                    <a:extLst xmlns:a="http://schemas.openxmlformats.org/drawingml/2006/main">
                      <a:ext uri="{FF2B5EF4-FFF2-40B4-BE49-F238E27FC236}">
                        <a16:creationId xmlns:a16="http://schemas.microsoft.com/office/drawing/2014/main" id="{476BFD18-8802-4D0E-9899-03055B3E0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237C55" w14:paraId="669B7747" w14:textId="77777777" w:rsidTr="000C4C9A">
        <w:trPr>
          <w:jc w:val="center"/>
        </w:trPr>
        <w:tc>
          <w:tcPr>
            <w:tcW w:w="8838" w:type="dxa"/>
          </w:tcPr>
          <w:p w14:paraId="0949A5B5" w14:textId="77777777" w:rsidR="00237C55" w:rsidRDefault="000C4C9A" w:rsidP="007909E5">
            <w:pPr>
              <w:jc w:val="both"/>
              <w:rPr>
                <w:rFonts w:asciiTheme="majorBidi" w:hAnsiTheme="majorBidi"/>
                <w:i/>
                <w:iCs/>
                <w:color w:val="000000"/>
                <w:sz w:val="20"/>
                <w:szCs w:val="18"/>
              </w:rPr>
            </w:pPr>
            <w:r w:rsidRPr="000C4C9A">
              <w:rPr>
                <w:rFonts w:asciiTheme="majorBidi" w:hAnsiTheme="majorBidi"/>
                <w:i/>
                <w:iCs/>
                <w:color w:val="000000"/>
                <w:sz w:val="20"/>
                <w:szCs w:val="18"/>
              </w:rPr>
              <w:t>Source: Own estimations with time series constructed and homologized of employment surveys (ENEU-ENOE).</w:t>
            </w:r>
          </w:p>
          <w:p w14:paraId="08C41D0F" w14:textId="12427535" w:rsidR="000C4C9A" w:rsidRPr="000C4C9A" w:rsidRDefault="000C4C9A" w:rsidP="007909E5">
            <w:pPr>
              <w:jc w:val="both"/>
              <w:rPr>
                <w:rFonts w:asciiTheme="majorBidi" w:hAnsiTheme="majorBidi"/>
                <w:i/>
                <w:iCs/>
                <w:color w:val="000000"/>
                <w:sz w:val="20"/>
                <w:szCs w:val="18"/>
              </w:rPr>
            </w:pPr>
            <w:r w:rsidRPr="000C4C9A">
              <w:rPr>
                <w:rFonts w:asciiTheme="majorBidi" w:hAnsiTheme="majorBidi"/>
                <w:i/>
                <w:iCs/>
                <w:color w:val="000000"/>
                <w:sz w:val="20"/>
                <w:szCs w:val="18"/>
              </w:rPr>
              <w:t xml:space="preserve">Notes: trend estimation </w:t>
            </w:r>
            <w:r w:rsidR="00317BF0">
              <w:rPr>
                <w:rFonts w:asciiTheme="majorBidi" w:hAnsiTheme="majorBidi"/>
                <w:i/>
                <w:iCs/>
                <w:color w:val="000000"/>
                <w:sz w:val="20"/>
                <w:szCs w:val="18"/>
              </w:rPr>
              <w:t>using</w:t>
            </w:r>
            <w:r w:rsidRPr="000C4C9A">
              <w:rPr>
                <w:rFonts w:asciiTheme="majorBidi" w:hAnsiTheme="majorBidi"/>
                <w:i/>
                <w:iCs/>
                <w:color w:val="000000"/>
                <w:sz w:val="20"/>
                <w:szCs w:val="18"/>
              </w:rPr>
              <w:t xml:space="preserve"> VAR model. The data of employment observed of second 2020 quarterly was calculated of ETOE.</w:t>
            </w:r>
          </w:p>
        </w:tc>
      </w:tr>
    </w:tbl>
    <w:p w14:paraId="5C358EC2" w14:textId="77777777" w:rsidR="004704A1" w:rsidRDefault="004704A1" w:rsidP="00900035">
      <w:pPr>
        <w:spacing w:after="0" w:line="240" w:lineRule="auto"/>
        <w:jc w:val="both"/>
        <w:rPr>
          <w:rFonts w:asciiTheme="majorBidi" w:hAnsiTheme="majorBidi"/>
          <w:color w:val="000000"/>
          <w:sz w:val="24"/>
        </w:rPr>
      </w:pPr>
    </w:p>
    <w:p w14:paraId="62FA3047" w14:textId="020D8860" w:rsidR="00900035" w:rsidRDefault="004932B4" w:rsidP="00900035">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terms of the number of jobs lost at the inflection point, both genders accumulated a loss of around </w:t>
      </w:r>
      <w:r w:rsidR="007909E5">
        <w:rPr>
          <w:rFonts w:asciiTheme="majorBidi" w:hAnsiTheme="majorBidi"/>
          <w:color w:val="000000"/>
          <w:sz w:val="24"/>
        </w:rPr>
        <w:t>1</w:t>
      </w:r>
      <w:r w:rsidR="007909E5" w:rsidRPr="00294B9C">
        <w:rPr>
          <w:rFonts w:asciiTheme="majorBidi" w:hAnsiTheme="majorBidi"/>
          <w:color w:val="000000"/>
          <w:sz w:val="24"/>
        </w:rPr>
        <w:t xml:space="preserve"> </w:t>
      </w:r>
      <w:r w:rsidRPr="004C731D">
        <w:rPr>
          <w:rFonts w:asciiTheme="majorBidi" w:hAnsiTheme="majorBidi"/>
          <w:color w:val="000000"/>
          <w:sz w:val="24"/>
        </w:rPr>
        <w:t xml:space="preserve">million jobs. Men accumulated losses of 597,814 formal jobs, </w:t>
      </w:r>
      <w:r w:rsidR="0004068E">
        <w:rPr>
          <w:rFonts w:asciiTheme="majorBidi" w:hAnsiTheme="majorBidi" w:cstheme="majorBidi"/>
          <w:color w:val="000000"/>
          <w:sz w:val="24"/>
          <w:szCs w:val="24"/>
        </w:rPr>
        <w:t>whereas</w:t>
      </w:r>
      <w:r w:rsidR="0004068E" w:rsidRPr="004C731D">
        <w:rPr>
          <w:rFonts w:asciiTheme="majorBidi" w:hAnsiTheme="majorBidi"/>
          <w:color w:val="000000"/>
          <w:sz w:val="24"/>
        </w:rPr>
        <w:t xml:space="preserve"> </w:t>
      </w:r>
      <w:r w:rsidRPr="0016142F">
        <w:rPr>
          <w:rFonts w:asciiTheme="majorBidi" w:hAnsiTheme="majorBidi"/>
          <w:color w:val="000000"/>
          <w:sz w:val="24"/>
        </w:rPr>
        <w:t>women accumulated losses of 475,289 formal jobs.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C4C9A" w14:paraId="0EFD28C6" w14:textId="77777777" w:rsidTr="000C4C9A">
        <w:trPr>
          <w:jc w:val="center"/>
        </w:trPr>
        <w:tc>
          <w:tcPr>
            <w:tcW w:w="8838" w:type="dxa"/>
          </w:tcPr>
          <w:p w14:paraId="5066B366" w14:textId="5E68958F" w:rsidR="000C4C9A" w:rsidRPr="00B875CC" w:rsidRDefault="000C4C9A" w:rsidP="00900035">
            <w:pPr>
              <w:jc w:val="both"/>
              <w:rPr>
                <w:rFonts w:asciiTheme="majorBidi" w:hAnsiTheme="majorBidi"/>
                <w:b/>
                <w:bCs/>
                <w:color w:val="000000"/>
                <w:sz w:val="20"/>
                <w:szCs w:val="18"/>
              </w:rPr>
            </w:pPr>
            <w:r w:rsidRPr="00B875CC">
              <w:rPr>
                <w:rFonts w:asciiTheme="majorBidi" w:hAnsiTheme="majorBidi"/>
                <w:b/>
                <w:bCs/>
                <w:color w:val="000000"/>
                <w:sz w:val="20"/>
                <w:szCs w:val="18"/>
              </w:rPr>
              <w:lastRenderedPageBreak/>
              <w:t>Figure 3. C</w:t>
            </w:r>
            <w:r w:rsidR="00F45FF4" w:rsidRPr="00B875CC">
              <w:rPr>
                <w:rFonts w:asciiTheme="majorBidi" w:hAnsiTheme="majorBidi"/>
                <w:b/>
                <w:bCs/>
                <w:color w:val="000000"/>
                <w:sz w:val="20"/>
                <w:szCs w:val="18"/>
              </w:rPr>
              <w:t>OVID</w:t>
            </w:r>
            <w:r w:rsidRPr="00B875CC">
              <w:rPr>
                <w:rFonts w:asciiTheme="majorBidi" w:hAnsiTheme="majorBidi"/>
                <w:b/>
                <w:bCs/>
                <w:color w:val="000000"/>
                <w:sz w:val="20"/>
                <w:szCs w:val="18"/>
              </w:rPr>
              <w:t>-19 shock and structural effect on women</w:t>
            </w:r>
            <w:r w:rsidR="00317BF0">
              <w:rPr>
                <w:rFonts w:asciiTheme="majorBidi" w:hAnsiTheme="majorBidi"/>
                <w:b/>
                <w:bCs/>
                <w:color w:val="000000"/>
                <w:sz w:val="20"/>
                <w:szCs w:val="18"/>
              </w:rPr>
              <w:t>'</w:t>
            </w:r>
            <w:r w:rsidRPr="00B875CC">
              <w:rPr>
                <w:rFonts w:asciiTheme="majorBidi" w:hAnsiTheme="majorBidi"/>
                <w:b/>
                <w:bCs/>
                <w:color w:val="000000"/>
                <w:sz w:val="20"/>
                <w:szCs w:val="18"/>
              </w:rPr>
              <w:t>s formal labor market</w:t>
            </w:r>
          </w:p>
        </w:tc>
      </w:tr>
      <w:tr w:rsidR="000C4C9A" w14:paraId="47434E51" w14:textId="77777777" w:rsidTr="002A3582">
        <w:tblPrEx>
          <w:tblCellMar>
            <w:left w:w="70" w:type="dxa"/>
            <w:right w:w="70" w:type="dxa"/>
          </w:tblCellMar>
        </w:tblPrEx>
        <w:trPr>
          <w:jc w:val="center"/>
        </w:trPr>
        <w:tc>
          <w:tcPr>
            <w:tcW w:w="8838" w:type="dxa"/>
          </w:tcPr>
          <w:p w14:paraId="2111E9CE" w14:textId="7A917D8D" w:rsidR="000C4C9A" w:rsidRDefault="002A3582" w:rsidP="00900035">
            <w:pPr>
              <w:jc w:val="both"/>
              <w:rPr>
                <w:rFonts w:asciiTheme="majorBidi" w:hAnsiTheme="majorBidi"/>
                <w:color w:val="000000"/>
                <w:sz w:val="24"/>
              </w:rPr>
            </w:pPr>
            <w:r>
              <w:rPr>
                <w:noProof/>
              </w:rPr>
              <w:drawing>
                <wp:anchor distT="0" distB="0" distL="114300" distR="114300" simplePos="0" relativeHeight="251673600" behindDoc="0" locked="0" layoutInCell="1" allowOverlap="1" wp14:anchorId="43BBF96D" wp14:editId="3ADCF2B6">
                  <wp:simplePos x="0" y="0"/>
                  <wp:positionH relativeFrom="column">
                    <wp:posOffset>-43815</wp:posOffset>
                  </wp:positionH>
                  <wp:positionV relativeFrom="paragraph">
                    <wp:posOffset>55245</wp:posOffset>
                  </wp:positionV>
                  <wp:extent cx="5575935" cy="2686685"/>
                  <wp:effectExtent l="0" t="0" r="5715" b="0"/>
                  <wp:wrapSquare wrapText="bothSides"/>
                  <wp:docPr id="7" name="Gráfico 7">
                    <a:extLst xmlns:a="http://schemas.openxmlformats.org/drawingml/2006/main">
                      <a:ext uri="{FF2B5EF4-FFF2-40B4-BE49-F238E27FC236}">
                        <a16:creationId xmlns:a16="http://schemas.microsoft.com/office/drawing/2014/main" id="{34C11820-6F83-42FF-A57F-A5C9EA29C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0C4C9A" w14:paraId="7C92071E" w14:textId="77777777" w:rsidTr="000C4C9A">
        <w:trPr>
          <w:jc w:val="center"/>
        </w:trPr>
        <w:tc>
          <w:tcPr>
            <w:tcW w:w="8838" w:type="dxa"/>
          </w:tcPr>
          <w:p w14:paraId="7B4A7247" w14:textId="77777777" w:rsidR="00AB126B" w:rsidRDefault="00AB126B" w:rsidP="00AB126B">
            <w:pPr>
              <w:jc w:val="both"/>
              <w:rPr>
                <w:rFonts w:asciiTheme="majorBidi" w:hAnsiTheme="majorBidi"/>
                <w:i/>
                <w:iCs/>
                <w:color w:val="000000"/>
                <w:sz w:val="20"/>
                <w:szCs w:val="18"/>
              </w:rPr>
            </w:pPr>
            <w:r w:rsidRPr="000C4C9A">
              <w:rPr>
                <w:rFonts w:asciiTheme="majorBidi" w:hAnsiTheme="majorBidi"/>
                <w:i/>
                <w:iCs/>
                <w:color w:val="000000"/>
                <w:sz w:val="20"/>
                <w:szCs w:val="18"/>
              </w:rPr>
              <w:t>Source: Own estimations with time series constructed and homologized of employment surveys (ENEU-ENOE).</w:t>
            </w:r>
          </w:p>
          <w:p w14:paraId="7C204207" w14:textId="720EFF62" w:rsidR="000C4C9A" w:rsidRDefault="00AB126B" w:rsidP="00AB126B">
            <w:pPr>
              <w:jc w:val="both"/>
              <w:rPr>
                <w:rFonts w:asciiTheme="majorBidi" w:hAnsiTheme="majorBidi"/>
                <w:color w:val="000000"/>
                <w:sz w:val="24"/>
              </w:rPr>
            </w:pPr>
            <w:r w:rsidRPr="000C4C9A">
              <w:rPr>
                <w:rFonts w:asciiTheme="majorBidi" w:hAnsiTheme="majorBidi"/>
                <w:i/>
                <w:iCs/>
                <w:color w:val="000000"/>
                <w:sz w:val="20"/>
                <w:szCs w:val="18"/>
              </w:rPr>
              <w:t>Notes: trend estimation by VAR model. The data of employment observed of second 2020 quarterly was calculated of ETOE.</w:t>
            </w:r>
          </w:p>
        </w:tc>
      </w:tr>
    </w:tbl>
    <w:p w14:paraId="5A7A46CB" w14:textId="77777777" w:rsidR="00A565EB" w:rsidRDefault="00A565EB" w:rsidP="00635BD4">
      <w:pPr>
        <w:spacing w:after="0" w:line="240" w:lineRule="auto"/>
        <w:jc w:val="both"/>
        <w:rPr>
          <w:rFonts w:asciiTheme="majorBidi" w:hAnsiTheme="majorBidi"/>
          <w:color w:val="000000"/>
          <w:sz w:val="24"/>
        </w:rPr>
      </w:pPr>
    </w:p>
    <w:p w14:paraId="6CF6E000" w14:textId="11631B3C" w:rsidR="00583C6F" w:rsidRPr="0016142F" w:rsidRDefault="007D6709" w:rsidP="00A565EB">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w:t>
      </w:r>
      <w:r>
        <w:rPr>
          <w:rFonts w:asciiTheme="majorBidi" w:hAnsiTheme="majorBidi" w:cstheme="majorBidi"/>
          <w:color w:val="000000"/>
          <w:sz w:val="24"/>
          <w:szCs w:val="24"/>
        </w:rPr>
        <w:t>regard</w:t>
      </w:r>
      <w:r w:rsidR="004932B4" w:rsidRPr="004C731D">
        <w:rPr>
          <w:rFonts w:asciiTheme="majorBidi" w:hAnsiTheme="majorBidi"/>
          <w:color w:val="000000"/>
          <w:sz w:val="24"/>
        </w:rPr>
        <w:t xml:space="preserve"> </w:t>
      </w:r>
      <w:r w:rsidRPr="0016142F">
        <w:rPr>
          <w:rFonts w:asciiTheme="majorBidi" w:hAnsiTheme="majorBidi"/>
          <w:color w:val="000000"/>
          <w:sz w:val="24"/>
        </w:rPr>
        <w:t xml:space="preserve">to </w:t>
      </w:r>
      <w:r w:rsidR="004932B4" w:rsidRPr="0016142F">
        <w:rPr>
          <w:rFonts w:asciiTheme="majorBidi" w:hAnsiTheme="majorBidi"/>
          <w:color w:val="000000"/>
          <w:sz w:val="24"/>
        </w:rPr>
        <w:t>the drop in employment, for men</w:t>
      </w:r>
      <w:r w:rsidR="002D2E99" w:rsidRPr="0016142F">
        <w:rPr>
          <w:rFonts w:asciiTheme="majorBidi" w:hAnsiTheme="majorBidi"/>
          <w:color w:val="000000"/>
          <w:sz w:val="24"/>
        </w:rPr>
        <w:t>,</w:t>
      </w:r>
      <w:r w:rsidR="004932B4" w:rsidRPr="008E7169">
        <w:rPr>
          <w:rFonts w:asciiTheme="majorBidi" w:hAnsiTheme="majorBidi"/>
          <w:color w:val="000000"/>
          <w:sz w:val="24"/>
        </w:rPr>
        <w:t xml:space="preserve"> only 1.21% represents the effect of the first </w:t>
      </w:r>
      <w:r w:rsidR="0060243D" w:rsidRPr="00C44071">
        <w:rPr>
          <w:rFonts w:asciiTheme="majorBidi" w:hAnsiTheme="majorBidi"/>
          <w:color w:val="000000"/>
          <w:sz w:val="24"/>
        </w:rPr>
        <w:t>COVID</w:t>
      </w:r>
      <w:r w:rsidR="004932B4" w:rsidRPr="00C44071">
        <w:rPr>
          <w:rFonts w:asciiTheme="majorBidi" w:hAnsiTheme="majorBidi"/>
          <w:color w:val="000000"/>
          <w:sz w:val="24"/>
        </w:rPr>
        <w:t xml:space="preserve">-19 shock, </w:t>
      </w:r>
      <w:r w:rsidR="00635BD4">
        <w:rPr>
          <w:rFonts w:asciiTheme="majorBidi" w:hAnsiTheme="majorBidi" w:cstheme="majorBidi"/>
          <w:color w:val="000000"/>
          <w:sz w:val="24"/>
          <w:szCs w:val="24"/>
        </w:rPr>
        <w:t>whereas</w:t>
      </w:r>
      <w:r w:rsidR="00635BD4" w:rsidRPr="004C731D">
        <w:rPr>
          <w:rFonts w:asciiTheme="majorBidi" w:hAnsiTheme="majorBidi"/>
          <w:color w:val="000000"/>
          <w:sz w:val="24"/>
        </w:rPr>
        <w:t xml:space="preserve"> </w:t>
      </w:r>
      <w:r w:rsidR="004932B4" w:rsidRPr="0016142F">
        <w:rPr>
          <w:rFonts w:asciiTheme="majorBidi" w:hAnsiTheme="majorBidi"/>
          <w:color w:val="000000"/>
          <w:sz w:val="24"/>
        </w:rPr>
        <w:t>7.14% is the equivalent of the structural effect. In terms of employment, the first C</w:t>
      </w:r>
      <w:r w:rsidR="003F2375" w:rsidRPr="0016142F">
        <w:rPr>
          <w:rFonts w:asciiTheme="majorBidi" w:hAnsiTheme="majorBidi"/>
          <w:color w:val="000000"/>
          <w:sz w:val="24"/>
        </w:rPr>
        <w:t>OVID</w:t>
      </w:r>
      <w:r w:rsidR="004932B4" w:rsidRPr="0016142F">
        <w:rPr>
          <w:rFonts w:asciiTheme="majorBidi" w:hAnsiTheme="majorBidi"/>
          <w:color w:val="000000"/>
          <w:sz w:val="24"/>
        </w:rPr>
        <w:t xml:space="preserve">-19 shock was equivalent to losses of 86,629, </w:t>
      </w:r>
      <w:r w:rsidR="00635BD4">
        <w:rPr>
          <w:rFonts w:asciiTheme="majorBidi" w:hAnsiTheme="majorBidi" w:cstheme="majorBidi"/>
          <w:color w:val="000000"/>
          <w:sz w:val="24"/>
          <w:szCs w:val="24"/>
        </w:rPr>
        <w:t>whereas</w:t>
      </w:r>
      <w:r w:rsidR="00635BD4" w:rsidRPr="004C731D">
        <w:rPr>
          <w:rFonts w:asciiTheme="majorBidi" w:hAnsiTheme="majorBidi"/>
          <w:color w:val="000000"/>
          <w:sz w:val="24"/>
        </w:rPr>
        <w:t xml:space="preserve"> </w:t>
      </w:r>
      <w:r w:rsidR="004932B4" w:rsidRPr="0016142F">
        <w:rPr>
          <w:rFonts w:asciiTheme="majorBidi" w:hAnsiTheme="majorBidi"/>
          <w:color w:val="000000"/>
          <w:sz w:val="24"/>
        </w:rPr>
        <w:t xml:space="preserve">the structural effect was the </w:t>
      </w:r>
      <w:r w:rsidR="002A0588">
        <w:rPr>
          <w:rFonts w:asciiTheme="majorBidi" w:hAnsiTheme="majorBidi"/>
          <w:color w:val="000000"/>
          <w:sz w:val="24"/>
        </w:rPr>
        <w:t>critical</w:t>
      </w:r>
      <w:r w:rsidR="004932B4" w:rsidRPr="0016142F">
        <w:rPr>
          <w:rFonts w:asciiTheme="majorBidi" w:hAnsiTheme="majorBidi"/>
          <w:color w:val="000000"/>
          <w:sz w:val="24"/>
        </w:rPr>
        <w:t xml:space="preserve"> determinant of the l</w:t>
      </w:r>
      <w:r w:rsidR="004932B4" w:rsidRPr="00666047">
        <w:rPr>
          <w:rFonts w:asciiTheme="majorBidi" w:hAnsiTheme="majorBidi"/>
          <w:color w:val="000000"/>
          <w:sz w:val="24"/>
        </w:rPr>
        <w:t>osses, amounting to 511,185.</w:t>
      </w:r>
      <w:r w:rsidR="00A565EB">
        <w:rPr>
          <w:rFonts w:asciiTheme="majorBidi" w:hAnsiTheme="majorBidi"/>
          <w:color w:val="000000"/>
          <w:sz w:val="24"/>
        </w:rPr>
        <w:t xml:space="preserve"> </w:t>
      </w:r>
      <w:r w:rsidR="004932B4" w:rsidRPr="00BE052D">
        <w:rPr>
          <w:rFonts w:asciiTheme="majorBidi" w:hAnsiTheme="majorBidi"/>
          <w:color w:val="000000"/>
          <w:sz w:val="24"/>
        </w:rPr>
        <w:t xml:space="preserve">On the other hand, of the 9.6% drop in </w:t>
      </w:r>
      <w:r w:rsidR="004932B4" w:rsidRPr="00294B9C">
        <w:rPr>
          <w:rFonts w:asciiTheme="majorBidi" w:hAnsiTheme="majorBidi"/>
          <w:color w:val="000000"/>
          <w:sz w:val="24"/>
        </w:rPr>
        <w:t>women</w:t>
      </w:r>
      <w:r w:rsidR="00317BF0">
        <w:rPr>
          <w:rFonts w:asciiTheme="majorBidi" w:hAnsiTheme="majorBidi"/>
          <w:color w:val="000000"/>
          <w:sz w:val="24"/>
        </w:rPr>
        <w:t>'</w:t>
      </w:r>
      <w:r w:rsidR="004932B4" w:rsidRPr="00294B9C">
        <w:rPr>
          <w:rFonts w:asciiTheme="majorBidi" w:hAnsiTheme="majorBidi"/>
          <w:color w:val="000000"/>
          <w:sz w:val="24"/>
        </w:rPr>
        <w:t>s</w:t>
      </w:r>
      <w:r w:rsidR="004932B4" w:rsidRPr="004C731D">
        <w:rPr>
          <w:rFonts w:asciiTheme="majorBidi" w:hAnsiTheme="majorBidi"/>
          <w:color w:val="000000"/>
          <w:sz w:val="24"/>
        </w:rPr>
        <w:t xml:space="preserve"> employment, the first shock of COVID-19 was 0.7</w:t>
      </w:r>
      <w:r w:rsidR="004932B4" w:rsidRPr="00294B9C">
        <w:rPr>
          <w:rFonts w:asciiTheme="majorBidi" w:hAnsiTheme="majorBidi"/>
          <w:color w:val="000000"/>
          <w:sz w:val="24"/>
        </w:rPr>
        <w:t>%</w:t>
      </w:r>
      <w:r w:rsidR="007909E5">
        <w:rPr>
          <w:rFonts w:asciiTheme="majorBidi" w:hAnsiTheme="majorBidi"/>
          <w:color w:val="000000"/>
          <w:sz w:val="24"/>
        </w:rPr>
        <w:t>,</w:t>
      </w:r>
      <w:r w:rsidR="004932B4" w:rsidRPr="00294B9C">
        <w:rPr>
          <w:rFonts w:asciiTheme="majorBidi" w:hAnsiTheme="majorBidi"/>
          <w:color w:val="000000"/>
          <w:sz w:val="24"/>
        </w:rPr>
        <w:t xml:space="preserve"> </w:t>
      </w:r>
      <w:r w:rsidR="007909E5">
        <w:rPr>
          <w:rFonts w:asciiTheme="majorBidi" w:hAnsiTheme="majorBidi"/>
          <w:color w:val="000000"/>
          <w:sz w:val="24"/>
        </w:rPr>
        <w:t>and</w:t>
      </w:r>
      <w:r w:rsidR="007909E5" w:rsidRPr="004C731D">
        <w:rPr>
          <w:rFonts w:asciiTheme="majorBidi" w:hAnsiTheme="majorBidi"/>
          <w:color w:val="000000"/>
          <w:sz w:val="24"/>
        </w:rPr>
        <w:t xml:space="preserve"> </w:t>
      </w:r>
      <w:r w:rsidR="004932B4" w:rsidRPr="0016142F">
        <w:rPr>
          <w:rFonts w:asciiTheme="majorBidi" w:hAnsiTheme="majorBidi"/>
          <w:color w:val="000000"/>
          <w:sz w:val="24"/>
        </w:rPr>
        <w:t>8.9% was the structural effect. In terms of jobs lost, the first shock is equivalent to 34,656 formal jobs</w:t>
      </w:r>
      <w:r w:rsidR="00E0745F">
        <w:rPr>
          <w:rFonts w:asciiTheme="majorBidi" w:hAnsiTheme="majorBidi" w:cstheme="majorBidi"/>
          <w:color w:val="000000"/>
          <w:sz w:val="24"/>
          <w:szCs w:val="24"/>
        </w:rPr>
        <w:t>,</w:t>
      </w:r>
      <w:r w:rsidR="00E0745F" w:rsidRPr="004C731D">
        <w:rPr>
          <w:rFonts w:asciiTheme="majorBidi" w:hAnsiTheme="majorBidi"/>
          <w:color w:val="000000"/>
          <w:sz w:val="24"/>
        </w:rPr>
        <w:t xml:space="preserve"> </w:t>
      </w:r>
      <w:r w:rsidR="004932B4" w:rsidRPr="0016142F">
        <w:rPr>
          <w:rFonts w:asciiTheme="majorBidi" w:hAnsiTheme="majorBidi"/>
          <w:color w:val="000000"/>
          <w:sz w:val="24"/>
        </w:rPr>
        <w:t xml:space="preserve">and the structural effect is equivalent to losses of 440,633. </w:t>
      </w:r>
    </w:p>
    <w:p w14:paraId="4A23C954" w14:textId="77777777" w:rsidR="00583C6F" w:rsidRPr="00666047" w:rsidRDefault="00583C6F" w:rsidP="00DC6EDA">
      <w:pPr>
        <w:spacing w:after="0" w:line="240" w:lineRule="auto"/>
        <w:jc w:val="both"/>
        <w:rPr>
          <w:rFonts w:asciiTheme="majorBidi" w:hAnsiTheme="majorBidi"/>
          <w:color w:val="000000"/>
          <w:sz w:val="24"/>
        </w:rPr>
      </w:pPr>
    </w:p>
    <w:p w14:paraId="42DF609F" w14:textId="51C17A95" w:rsidR="004932B4" w:rsidRPr="0016142F" w:rsidRDefault="004932B4" w:rsidP="00D80397">
      <w:pPr>
        <w:spacing w:after="0" w:line="240" w:lineRule="auto"/>
        <w:jc w:val="both"/>
        <w:rPr>
          <w:rFonts w:asciiTheme="majorBidi" w:hAnsiTheme="majorBidi"/>
          <w:color w:val="000000"/>
          <w:sz w:val="24"/>
        </w:rPr>
      </w:pPr>
      <w:r w:rsidRPr="00666047">
        <w:rPr>
          <w:rFonts w:asciiTheme="majorBidi" w:hAnsiTheme="majorBidi"/>
          <w:color w:val="000000"/>
          <w:sz w:val="24"/>
        </w:rPr>
        <w:t>From the above analysis</w:t>
      </w:r>
      <w:r w:rsidR="00583C6F" w:rsidRPr="00666047">
        <w:rPr>
          <w:rFonts w:asciiTheme="majorBidi" w:hAnsiTheme="majorBidi"/>
          <w:color w:val="000000"/>
          <w:sz w:val="24"/>
        </w:rPr>
        <w:t>,</w:t>
      </w:r>
      <w:r w:rsidRPr="00666047">
        <w:rPr>
          <w:rFonts w:asciiTheme="majorBidi" w:hAnsiTheme="majorBidi"/>
          <w:color w:val="000000"/>
          <w:sz w:val="24"/>
        </w:rPr>
        <w:t xml:space="preserve"> </w:t>
      </w:r>
      <w:r w:rsidR="00E0745F">
        <w:rPr>
          <w:rFonts w:asciiTheme="majorBidi" w:hAnsiTheme="majorBidi" w:cstheme="majorBidi"/>
          <w:color w:val="000000"/>
          <w:sz w:val="24"/>
          <w:szCs w:val="24"/>
        </w:rPr>
        <w:t xml:space="preserve">we </w:t>
      </w:r>
      <w:r w:rsidRPr="004932B4">
        <w:rPr>
          <w:rFonts w:asciiTheme="majorBidi" w:hAnsiTheme="majorBidi" w:cstheme="majorBidi"/>
          <w:color w:val="000000"/>
          <w:sz w:val="24"/>
          <w:szCs w:val="24"/>
        </w:rPr>
        <w:t>conclude</w:t>
      </w:r>
      <w:r w:rsidRPr="004C731D">
        <w:rPr>
          <w:rFonts w:asciiTheme="majorBidi" w:hAnsiTheme="majorBidi"/>
          <w:color w:val="000000"/>
          <w:sz w:val="24"/>
        </w:rPr>
        <w:t xml:space="preserve"> that the I-shock of COVID-19 was </w:t>
      </w:r>
      <w:r w:rsidR="002A0588">
        <w:rPr>
          <w:rFonts w:asciiTheme="majorBidi" w:hAnsiTheme="majorBidi"/>
          <w:color w:val="000000"/>
          <w:sz w:val="24"/>
        </w:rPr>
        <w:t>more significant</w:t>
      </w:r>
      <w:r w:rsidRPr="004C731D">
        <w:rPr>
          <w:rFonts w:asciiTheme="majorBidi" w:hAnsiTheme="majorBidi"/>
          <w:color w:val="000000"/>
          <w:sz w:val="24"/>
        </w:rPr>
        <w:t xml:space="preserve"> for men relative to women, </w:t>
      </w:r>
      <w:r w:rsidR="00E0745F">
        <w:rPr>
          <w:rFonts w:asciiTheme="majorBidi" w:hAnsiTheme="majorBidi" w:cstheme="majorBidi"/>
          <w:color w:val="000000"/>
          <w:sz w:val="24"/>
          <w:szCs w:val="24"/>
        </w:rPr>
        <w:t>whereas</w:t>
      </w:r>
      <w:r w:rsidR="00E0745F" w:rsidRPr="004C731D">
        <w:rPr>
          <w:rFonts w:asciiTheme="majorBidi" w:hAnsiTheme="majorBidi"/>
          <w:color w:val="000000"/>
          <w:sz w:val="24"/>
        </w:rPr>
        <w:t xml:space="preserve"> </w:t>
      </w:r>
      <w:r w:rsidRPr="0016142F">
        <w:rPr>
          <w:rFonts w:asciiTheme="majorBidi" w:hAnsiTheme="majorBidi"/>
          <w:color w:val="000000"/>
          <w:sz w:val="24"/>
        </w:rPr>
        <w:t xml:space="preserve">the effect of the structural economy has a </w:t>
      </w:r>
      <w:r w:rsidR="002A0588">
        <w:rPr>
          <w:rFonts w:asciiTheme="majorBidi" w:hAnsiTheme="majorBidi"/>
          <w:color w:val="000000"/>
          <w:sz w:val="24"/>
        </w:rPr>
        <w:t>more significant</w:t>
      </w:r>
      <w:r w:rsidRPr="0016142F">
        <w:rPr>
          <w:rFonts w:asciiTheme="majorBidi" w:hAnsiTheme="majorBidi"/>
          <w:color w:val="000000"/>
          <w:sz w:val="24"/>
        </w:rPr>
        <w:t xml:space="preserve"> impact on </w:t>
      </w:r>
      <w:r w:rsidRPr="00A46182">
        <w:rPr>
          <w:rFonts w:asciiTheme="majorBidi" w:hAnsiTheme="majorBidi"/>
          <w:color w:val="000000"/>
          <w:sz w:val="24"/>
        </w:rPr>
        <w:t>women</w:t>
      </w:r>
      <w:r w:rsidR="00317BF0">
        <w:rPr>
          <w:rFonts w:asciiTheme="majorBidi" w:hAnsiTheme="majorBidi"/>
          <w:color w:val="000000"/>
          <w:sz w:val="24"/>
        </w:rPr>
        <w:t>'</w:t>
      </w:r>
      <w:r w:rsidRPr="00A46182">
        <w:rPr>
          <w:rFonts w:asciiTheme="majorBidi" w:hAnsiTheme="majorBidi"/>
          <w:color w:val="000000"/>
          <w:sz w:val="24"/>
        </w:rPr>
        <w:t>s</w:t>
      </w:r>
      <w:r w:rsidRPr="004C731D">
        <w:rPr>
          <w:rFonts w:asciiTheme="majorBidi" w:hAnsiTheme="majorBidi"/>
          <w:color w:val="000000"/>
          <w:sz w:val="24"/>
        </w:rPr>
        <w:t xml:space="preserve"> formal employment. This me</w:t>
      </w:r>
      <w:r w:rsidRPr="0016142F">
        <w:rPr>
          <w:rFonts w:asciiTheme="majorBidi" w:hAnsiTheme="majorBidi"/>
          <w:color w:val="000000"/>
          <w:sz w:val="24"/>
        </w:rPr>
        <w:t xml:space="preserve">ans that </w:t>
      </w:r>
      <w:r w:rsidRPr="004932B4">
        <w:rPr>
          <w:rFonts w:asciiTheme="majorBidi" w:hAnsiTheme="majorBidi" w:cstheme="majorBidi"/>
          <w:color w:val="000000"/>
          <w:sz w:val="24"/>
          <w:szCs w:val="24"/>
        </w:rPr>
        <w:t>women</w:t>
      </w:r>
      <w:r w:rsidR="00317BF0">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employment reacts more strongly to structural effects</w:t>
      </w:r>
      <w:r w:rsidR="00CE0386">
        <w:rPr>
          <w:rFonts w:asciiTheme="majorBidi" w:hAnsiTheme="majorBidi" w:cstheme="majorBidi"/>
          <w:color w:val="000000"/>
          <w:sz w:val="24"/>
          <w:szCs w:val="24"/>
        </w:rPr>
        <w:t xml:space="preserve"> </w:t>
      </w:r>
      <w:r w:rsidR="00D80397">
        <w:rPr>
          <w:rFonts w:asciiTheme="majorBidi" w:hAnsiTheme="majorBidi" w:cstheme="majorBidi"/>
          <w:color w:val="000000"/>
          <w:sz w:val="24"/>
          <w:szCs w:val="24"/>
        </w:rPr>
        <w:t>(</w:t>
      </w:r>
      <w:r w:rsidRPr="004C731D">
        <w:rPr>
          <w:rFonts w:asciiTheme="majorBidi" w:hAnsiTheme="majorBidi"/>
          <w:color w:val="000000"/>
          <w:sz w:val="24"/>
        </w:rPr>
        <w:t>92</w:t>
      </w:r>
      <w:r w:rsidRPr="00A46182">
        <w:rPr>
          <w:rFonts w:asciiTheme="majorBidi" w:hAnsiTheme="majorBidi"/>
          <w:color w:val="000000"/>
          <w:sz w:val="24"/>
        </w:rPr>
        <w:t>%</w:t>
      </w:r>
      <w:r w:rsidR="00D80397">
        <w:rPr>
          <w:rFonts w:asciiTheme="majorBidi" w:hAnsiTheme="majorBidi"/>
          <w:color w:val="000000"/>
          <w:sz w:val="24"/>
        </w:rPr>
        <w:t xml:space="preserve">, </w:t>
      </w:r>
      <w:r w:rsidRPr="004C731D">
        <w:rPr>
          <w:rFonts w:asciiTheme="majorBidi" w:hAnsiTheme="majorBidi"/>
          <w:color w:val="000000"/>
          <w:sz w:val="24"/>
        </w:rPr>
        <w:t xml:space="preserve">versus 86% for men), </w:t>
      </w:r>
      <w:r w:rsidR="00E0745F">
        <w:rPr>
          <w:rFonts w:asciiTheme="majorBidi" w:hAnsiTheme="majorBidi" w:cstheme="majorBidi"/>
          <w:color w:val="000000"/>
          <w:sz w:val="24"/>
          <w:szCs w:val="24"/>
        </w:rPr>
        <w:t>whereas</w:t>
      </w:r>
      <w:r w:rsidR="00E0745F" w:rsidRPr="004932B4">
        <w:rPr>
          <w:rFonts w:asciiTheme="majorBidi" w:hAnsiTheme="majorBidi" w:cstheme="majorBidi"/>
          <w:color w:val="000000"/>
          <w:sz w:val="24"/>
          <w:szCs w:val="24"/>
        </w:rPr>
        <w:t xml:space="preserve"> </w:t>
      </w:r>
      <w:r w:rsidRPr="004932B4">
        <w:rPr>
          <w:rFonts w:asciiTheme="majorBidi" w:hAnsiTheme="majorBidi" w:cstheme="majorBidi"/>
          <w:color w:val="000000"/>
          <w:sz w:val="24"/>
          <w:szCs w:val="24"/>
        </w:rPr>
        <w:t>men</w:t>
      </w:r>
      <w:r w:rsidR="00317BF0">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employment reacts more strongly to exogenous shocks</w:t>
      </w:r>
      <w:r w:rsidRPr="004932B4">
        <w:rPr>
          <w:rFonts w:asciiTheme="majorBidi" w:hAnsiTheme="majorBidi" w:cstheme="majorBidi"/>
          <w:color w:val="000000"/>
          <w:sz w:val="24"/>
          <w:szCs w:val="24"/>
        </w:rPr>
        <w:t xml:space="preserve"> </w:t>
      </w:r>
      <w:r w:rsidR="00D80397">
        <w:rPr>
          <w:rFonts w:asciiTheme="majorBidi" w:hAnsiTheme="majorBidi"/>
          <w:color w:val="000000"/>
          <w:sz w:val="24"/>
        </w:rPr>
        <w:t>(</w:t>
      </w:r>
      <w:r w:rsidRPr="004C731D">
        <w:rPr>
          <w:rFonts w:asciiTheme="majorBidi" w:hAnsiTheme="majorBidi"/>
          <w:color w:val="000000"/>
          <w:sz w:val="24"/>
        </w:rPr>
        <w:t>14</w:t>
      </w:r>
      <w:r w:rsidRPr="00A46182">
        <w:rPr>
          <w:rFonts w:asciiTheme="majorBidi" w:hAnsiTheme="majorBidi"/>
          <w:color w:val="000000"/>
          <w:sz w:val="24"/>
        </w:rPr>
        <w:t>%</w:t>
      </w:r>
      <w:r w:rsidR="00D80397">
        <w:rPr>
          <w:rFonts w:asciiTheme="majorBidi" w:hAnsiTheme="majorBidi"/>
          <w:color w:val="000000"/>
          <w:sz w:val="24"/>
        </w:rPr>
        <w:t xml:space="preserve">, </w:t>
      </w:r>
      <w:r w:rsidRPr="004C731D">
        <w:rPr>
          <w:rFonts w:asciiTheme="majorBidi" w:hAnsiTheme="majorBidi"/>
          <w:color w:val="000000"/>
          <w:sz w:val="24"/>
        </w:rPr>
        <w:t>versus 7% for women).</w:t>
      </w:r>
    </w:p>
    <w:p w14:paraId="54D47A71" w14:textId="77777777" w:rsidR="00583C6F" w:rsidRPr="00666047" w:rsidRDefault="00583C6F" w:rsidP="00DC6EDA">
      <w:pPr>
        <w:spacing w:after="0" w:line="240" w:lineRule="auto"/>
        <w:jc w:val="both"/>
        <w:rPr>
          <w:rFonts w:asciiTheme="majorBidi" w:hAnsiTheme="majorBidi"/>
          <w:color w:val="000000"/>
          <w:sz w:val="24"/>
        </w:rPr>
      </w:pPr>
    </w:p>
    <w:p w14:paraId="05607362" w14:textId="7CC85FE7" w:rsidR="00583C6F" w:rsidRDefault="004932B4" w:rsidP="00A565EB">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For this reason, </w:t>
      </w:r>
      <w:r w:rsidRPr="004932B4">
        <w:rPr>
          <w:rFonts w:asciiTheme="majorBidi" w:hAnsiTheme="majorBidi" w:cstheme="majorBidi"/>
          <w:color w:val="000000"/>
          <w:sz w:val="24"/>
          <w:szCs w:val="24"/>
        </w:rPr>
        <w:t>women</w:t>
      </w:r>
      <w:r w:rsidR="00317BF0">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xml:space="preserve"> formal employment recovers faster </w:t>
      </w:r>
      <w:r w:rsidRPr="0016142F">
        <w:rPr>
          <w:rFonts w:asciiTheme="majorBidi" w:hAnsiTheme="majorBidi"/>
          <w:color w:val="000000"/>
          <w:sz w:val="24"/>
        </w:rPr>
        <w:t xml:space="preserve">than </w:t>
      </w:r>
      <w:r w:rsidRPr="004932B4">
        <w:rPr>
          <w:rFonts w:asciiTheme="majorBidi" w:hAnsiTheme="majorBidi" w:cstheme="majorBidi"/>
          <w:color w:val="000000"/>
          <w:sz w:val="24"/>
          <w:szCs w:val="24"/>
        </w:rPr>
        <w:t>men</w:t>
      </w:r>
      <w:r w:rsidR="00317BF0">
        <w:rPr>
          <w:rFonts w:asciiTheme="majorBidi" w:hAnsiTheme="majorBidi" w:cstheme="majorBidi"/>
          <w:color w:val="000000"/>
          <w:sz w:val="24"/>
          <w:szCs w:val="24"/>
        </w:rPr>
        <w:t>'</w:t>
      </w:r>
      <w:r w:rsidRPr="004932B4">
        <w:rPr>
          <w:rFonts w:asciiTheme="majorBidi" w:hAnsiTheme="majorBidi" w:cstheme="majorBidi"/>
          <w:color w:val="000000"/>
          <w:sz w:val="24"/>
          <w:szCs w:val="24"/>
        </w:rPr>
        <w:t>s</w:t>
      </w:r>
      <w:r w:rsidRPr="004C731D">
        <w:rPr>
          <w:rFonts w:asciiTheme="majorBidi" w:hAnsiTheme="majorBidi"/>
          <w:color w:val="000000"/>
          <w:sz w:val="24"/>
        </w:rPr>
        <w:t>. The model forecasts that women will reach the pre-COVID</w:t>
      </w:r>
      <w:r w:rsidR="00C86615" w:rsidRPr="0016142F">
        <w:rPr>
          <w:rFonts w:asciiTheme="majorBidi" w:hAnsiTheme="majorBidi"/>
          <w:color w:val="000000"/>
          <w:sz w:val="24"/>
        </w:rPr>
        <w:t>-</w:t>
      </w:r>
      <w:r w:rsidRPr="0016142F">
        <w:rPr>
          <w:rFonts w:asciiTheme="majorBidi" w:hAnsiTheme="majorBidi"/>
          <w:color w:val="000000"/>
          <w:sz w:val="24"/>
        </w:rPr>
        <w:t>19 employment level one quarter earlier than men. The model forecasts that women will reach pre-COVID</w:t>
      </w:r>
      <w:r w:rsidR="00C86615" w:rsidRPr="00666047">
        <w:rPr>
          <w:rFonts w:asciiTheme="majorBidi" w:hAnsiTheme="majorBidi"/>
          <w:color w:val="000000"/>
          <w:sz w:val="24"/>
        </w:rPr>
        <w:t>-</w:t>
      </w:r>
      <w:r w:rsidRPr="00666047">
        <w:rPr>
          <w:rFonts w:asciiTheme="majorBidi" w:hAnsiTheme="majorBidi"/>
          <w:color w:val="000000"/>
          <w:sz w:val="24"/>
        </w:rPr>
        <w:t xml:space="preserve">19 employment levels one quarter earlier than men. In the case of women, this recovery will begin to be observed in the first quarter of 2021, </w:t>
      </w:r>
      <w:r w:rsidR="00315038">
        <w:rPr>
          <w:rFonts w:asciiTheme="majorBidi" w:hAnsiTheme="majorBidi" w:cstheme="majorBidi"/>
          <w:color w:val="000000"/>
          <w:sz w:val="24"/>
          <w:szCs w:val="24"/>
        </w:rPr>
        <w:t>whereas</w:t>
      </w:r>
      <w:r w:rsidR="00315038" w:rsidRPr="004C731D">
        <w:rPr>
          <w:rFonts w:asciiTheme="majorBidi" w:hAnsiTheme="majorBidi"/>
          <w:color w:val="000000"/>
          <w:sz w:val="24"/>
        </w:rPr>
        <w:t xml:space="preserve"> </w:t>
      </w:r>
      <w:r w:rsidRPr="0016142F">
        <w:rPr>
          <w:rFonts w:asciiTheme="majorBidi" w:hAnsiTheme="majorBidi"/>
          <w:color w:val="000000"/>
          <w:sz w:val="24"/>
        </w:rPr>
        <w:t>that of men will be observed in the middle of the year (2021</w:t>
      </w:r>
      <w:r w:rsidR="002D2E99" w:rsidRPr="00666047">
        <w:rPr>
          <w:rFonts w:asciiTheme="majorBidi" w:hAnsiTheme="majorBidi"/>
          <w:color w:val="000000"/>
          <w:sz w:val="24"/>
        </w:rPr>
        <w:t>:Q</w:t>
      </w:r>
      <w:r w:rsidRPr="00666047">
        <w:rPr>
          <w:rFonts w:asciiTheme="majorBidi" w:hAnsiTheme="majorBidi"/>
          <w:color w:val="000000"/>
          <w:sz w:val="24"/>
        </w:rPr>
        <w:t>2).</w:t>
      </w:r>
    </w:p>
    <w:p w14:paraId="2213C531" w14:textId="77777777" w:rsidR="0019039D" w:rsidRDefault="0019039D" w:rsidP="00DC6EDA">
      <w:pPr>
        <w:spacing w:after="0" w:line="240" w:lineRule="auto"/>
        <w:jc w:val="both"/>
        <w:rPr>
          <w:rFonts w:asciiTheme="majorBidi" w:hAnsiTheme="majorBidi"/>
          <w:b/>
          <w:color w:val="000000"/>
          <w:sz w:val="24"/>
        </w:rPr>
      </w:pPr>
    </w:p>
    <w:p w14:paraId="7CFD6756" w14:textId="70C71F97" w:rsidR="004932B4" w:rsidRPr="00AA1CA4" w:rsidRDefault="004932B4" w:rsidP="00DC6EDA">
      <w:pPr>
        <w:spacing w:after="0" w:line="240" w:lineRule="auto"/>
        <w:jc w:val="both"/>
        <w:rPr>
          <w:rFonts w:asciiTheme="majorBidi" w:hAnsiTheme="majorBidi"/>
          <w:b/>
          <w:color w:val="000000"/>
          <w:sz w:val="24"/>
        </w:rPr>
      </w:pPr>
      <w:r w:rsidRPr="00AA1CA4">
        <w:rPr>
          <w:rFonts w:asciiTheme="majorBidi" w:hAnsiTheme="majorBidi"/>
          <w:b/>
          <w:color w:val="000000"/>
          <w:sz w:val="24"/>
        </w:rPr>
        <w:t xml:space="preserve">4.3.2 Informal employment by gender </w:t>
      </w:r>
    </w:p>
    <w:p w14:paraId="3E76D891" w14:textId="77777777" w:rsidR="002D2E99" w:rsidRPr="00294B9C" w:rsidRDefault="002D2E99" w:rsidP="00DC6EDA">
      <w:pPr>
        <w:spacing w:after="0" w:line="240" w:lineRule="auto"/>
        <w:jc w:val="both"/>
        <w:rPr>
          <w:rFonts w:asciiTheme="majorBidi" w:hAnsiTheme="majorBidi"/>
          <w:color w:val="000000"/>
          <w:sz w:val="24"/>
        </w:rPr>
      </w:pPr>
    </w:p>
    <w:p w14:paraId="3E771D39" w14:textId="7A309DFF" w:rsidR="004932B4" w:rsidRPr="0016142F" w:rsidRDefault="004932B4" w:rsidP="00813F8D">
      <w:pPr>
        <w:spacing w:after="0" w:line="240" w:lineRule="auto"/>
        <w:jc w:val="both"/>
        <w:rPr>
          <w:rFonts w:asciiTheme="majorBidi" w:hAnsiTheme="majorBidi"/>
          <w:color w:val="000000"/>
          <w:sz w:val="24"/>
        </w:rPr>
      </w:pPr>
      <w:r w:rsidRPr="00294B9C">
        <w:rPr>
          <w:rFonts w:asciiTheme="majorBidi" w:hAnsiTheme="majorBidi"/>
          <w:color w:val="000000"/>
          <w:sz w:val="24"/>
        </w:rPr>
        <w:t xml:space="preserve">Informal employment represents one of the most severe problems in our country; trying to quantify it gives us an approximation of the size of the problem. Estimates show that </w:t>
      </w:r>
      <w:r w:rsidRPr="004C731D">
        <w:rPr>
          <w:rFonts w:asciiTheme="majorBidi" w:hAnsiTheme="majorBidi"/>
          <w:color w:val="000000"/>
          <w:sz w:val="24"/>
        </w:rPr>
        <w:t>informal employment</w:t>
      </w:r>
      <w:r w:rsidRPr="00294B9C">
        <w:rPr>
          <w:rFonts w:asciiTheme="majorBidi" w:hAnsiTheme="majorBidi"/>
          <w:color w:val="000000"/>
          <w:sz w:val="24"/>
        </w:rPr>
        <w:t xml:space="preserve"> </w:t>
      </w:r>
      <w:r w:rsidR="00813F8D" w:rsidRPr="00294B9C">
        <w:rPr>
          <w:rFonts w:asciiTheme="majorBidi" w:hAnsiTheme="majorBidi"/>
          <w:color w:val="000000"/>
          <w:sz w:val="24"/>
        </w:rPr>
        <w:t>in both genders</w:t>
      </w:r>
      <w:r w:rsidR="00813F8D" w:rsidRPr="004C731D">
        <w:rPr>
          <w:rFonts w:asciiTheme="majorBidi" w:hAnsiTheme="majorBidi"/>
          <w:color w:val="000000"/>
          <w:sz w:val="24"/>
        </w:rPr>
        <w:t xml:space="preserve"> </w:t>
      </w:r>
      <w:r w:rsidRPr="0016142F">
        <w:rPr>
          <w:rFonts w:asciiTheme="majorBidi" w:hAnsiTheme="majorBidi"/>
          <w:color w:val="000000"/>
          <w:sz w:val="24"/>
        </w:rPr>
        <w:t>is inelastic to changes in productivity</w:t>
      </w:r>
      <w:r w:rsidR="00813F8D" w:rsidRPr="0016142F">
        <w:rPr>
          <w:rFonts w:asciiTheme="majorBidi" w:hAnsiTheme="majorBidi"/>
          <w:color w:val="000000"/>
          <w:sz w:val="24"/>
        </w:rPr>
        <w:t>.</w:t>
      </w:r>
    </w:p>
    <w:p w14:paraId="5A44E4AF" w14:textId="77777777" w:rsidR="00ED55D7" w:rsidRPr="00666047" w:rsidRDefault="00ED55D7" w:rsidP="00DC6EDA">
      <w:pPr>
        <w:spacing w:after="0" w:line="240" w:lineRule="auto"/>
        <w:jc w:val="both"/>
        <w:rPr>
          <w:rFonts w:asciiTheme="majorBidi" w:hAnsiTheme="majorBidi"/>
          <w:color w:val="000000"/>
          <w:sz w:val="24"/>
        </w:rPr>
      </w:pPr>
    </w:p>
    <w:p w14:paraId="4226F30E" w14:textId="1A2A9E2A" w:rsidR="004932B4" w:rsidRDefault="004932B4" w:rsidP="001A7636">
      <w:pPr>
        <w:spacing w:after="0" w:line="240" w:lineRule="auto"/>
        <w:jc w:val="both"/>
        <w:rPr>
          <w:rFonts w:asciiTheme="majorBidi" w:hAnsiTheme="majorBidi"/>
          <w:color w:val="000000"/>
          <w:sz w:val="24"/>
        </w:rPr>
      </w:pPr>
      <w:r w:rsidRPr="00666047">
        <w:rPr>
          <w:rFonts w:asciiTheme="majorBidi" w:hAnsiTheme="majorBidi"/>
          <w:color w:val="000000"/>
          <w:sz w:val="24"/>
        </w:rPr>
        <w:t xml:space="preserve">In </w:t>
      </w:r>
      <w:r w:rsidR="005D485C">
        <w:rPr>
          <w:rFonts w:asciiTheme="majorBidi" w:hAnsiTheme="majorBidi"/>
          <w:color w:val="000000"/>
          <w:sz w:val="24"/>
        </w:rPr>
        <w:t>Figure 4</w:t>
      </w:r>
      <w:r w:rsidRPr="004C731D">
        <w:rPr>
          <w:rFonts w:asciiTheme="majorBidi" w:hAnsiTheme="majorBidi"/>
          <w:color w:val="000000"/>
          <w:sz w:val="24"/>
        </w:rPr>
        <w:t>, particularly for men, the first quarter seemed to be an escape valve for job</w:t>
      </w:r>
      <w:r w:rsidRPr="0016142F">
        <w:rPr>
          <w:rFonts w:asciiTheme="majorBidi" w:hAnsiTheme="majorBidi"/>
          <w:color w:val="000000"/>
          <w:sz w:val="24"/>
        </w:rPr>
        <w:t xml:space="preserve"> losses in the economy, since </w:t>
      </w:r>
      <w:r w:rsidRPr="004C731D">
        <w:rPr>
          <w:rFonts w:asciiTheme="majorBidi" w:hAnsiTheme="majorBidi"/>
          <w:color w:val="000000"/>
          <w:sz w:val="24"/>
        </w:rPr>
        <w:t xml:space="preserve">the formal employment losses derived from the </w:t>
      </w:r>
      <w:r w:rsidR="00C86615" w:rsidRPr="0016142F">
        <w:rPr>
          <w:rFonts w:asciiTheme="majorBidi" w:hAnsiTheme="majorBidi"/>
          <w:color w:val="000000"/>
          <w:sz w:val="24"/>
        </w:rPr>
        <w:t>COVID</w:t>
      </w:r>
      <w:r w:rsidRPr="0016142F">
        <w:rPr>
          <w:rFonts w:asciiTheme="majorBidi" w:hAnsiTheme="majorBidi"/>
          <w:color w:val="000000"/>
          <w:sz w:val="24"/>
        </w:rPr>
        <w:t>-19 I-shock were around 163,700 jobs</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while in the same period (2020</w:t>
      </w:r>
      <w:r w:rsidR="0049045F" w:rsidRPr="0016142F">
        <w:rPr>
          <w:rFonts w:asciiTheme="majorBidi" w:hAnsiTheme="majorBidi"/>
          <w:color w:val="000000"/>
          <w:sz w:val="24"/>
        </w:rPr>
        <w:t>:Q</w:t>
      </w:r>
      <w:r w:rsidRPr="0016142F">
        <w:rPr>
          <w:rFonts w:asciiTheme="majorBidi" w:hAnsiTheme="majorBidi"/>
          <w:color w:val="000000"/>
          <w:sz w:val="24"/>
        </w:rPr>
        <w:t>1</w:t>
      </w:r>
      <w:r w:rsidRPr="00A46182">
        <w:rPr>
          <w:rFonts w:asciiTheme="majorBidi" w:hAnsiTheme="majorBidi"/>
          <w:color w:val="000000"/>
          <w:sz w:val="24"/>
        </w:rPr>
        <w:t>)</w:t>
      </w:r>
      <w:r w:rsidR="00FC3FF0">
        <w:rPr>
          <w:rFonts w:asciiTheme="majorBidi" w:hAnsiTheme="majorBidi"/>
          <w:color w:val="000000"/>
          <w:sz w:val="24"/>
        </w:rPr>
        <w:t>,</w:t>
      </w:r>
      <w:r w:rsidRPr="004C731D">
        <w:rPr>
          <w:rFonts w:asciiTheme="majorBidi" w:hAnsiTheme="majorBidi"/>
          <w:color w:val="000000"/>
          <w:sz w:val="24"/>
        </w:rPr>
        <w:t xml:space="preserve"> informal employment captured 115,074 jobs, almost equivalent to the losses. </w:t>
      </w:r>
      <w:r w:rsidR="00315038">
        <w:rPr>
          <w:rFonts w:asciiTheme="majorBidi" w:hAnsiTheme="majorBidi" w:cstheme="majorBidi"/>
          <w:color w:val="000000"/>
          <w:sz w:val="24"/>
          <w:szCs w:val="24"/>
        </w:rPr>
        <w:t>However,</w:t>
      </w:r>
      <w:r w:rsidRPr="004C731D">
        <w:rPr>
          <w:rFonts w:asciiTheme="majorBidi" w:hAnsiTheme="majorBidi"/>
          <w:color w:val="000000"/>
          <w:sz w:val="24"/>
        </w:rPr>
        <w:t xml:space="preserve"> thi</w:t>
      </w:r>
      <w:r w:rsidRPr="0016142F">
        <w:rPr>
          <w:rFonts w:asciiTheme="majorBidi" w:hAnsiTheme="majorBidi"/>
          <w:color w:val="000000"/>
          <w:sz w:val="24"/>
        </w:rPr>
        <w:t>s increase was unsustainable</w:t>
      </w:r>
      <w:r w:rsidRPr="004C731D">
        <w:rPr>
          <w:rFonts w:asciiTheme="majorBidi" w:hAnsiTheme="majorBidi"/>
          <w:color w:val="000000"/>
          <w:sz w:val="24"/>
        </w:rPr>
        <w:t xml:space="preserve"> because</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w:t>
      </w:r>
      <w:r w:rsidRPr="0016142F">
        <w:rPr>
          <w:rFonts w:asciiTheme="majorBidi" w:hAnsiTheme="majorBidi"/>
          <w:color w:val="000000"/>
          <w:sz w:val="24"/>
        </w:rPr>
        <w:t>by the second quarter of 2020</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there was </w:t>
      </w:r>
      <w:r w:rsidR="00FC3FF0">
        <w:rPr>
          <w:rFonts w:asciiTheme="majorBidi" w:hAnsiTheme="majorBidi"/>
          <w:color w:val="000000"/>
          <w:sz w:val="24"/>
        </w:rPr>
        <w:t xml:space="preserve">already </w:t>
      </w:r>
      <w:r w:rsidRPr="004C731D">
        <w:rPr>
          <w:rFonts w:asciiTheme="majorBidi" w:hAnsiTheme="majorBidi"/>
          <w:color w:val="000000"/>
          <w:sz w:val="24"/>
        </w:rPr>
        <w:t>a 43% drop in informal employment for men, as expressed by Samaniego (2020</w:t>
      </w:r>
      <w:r w:rsidRPr="004932B4">
        <w:rPr>
          <w:rFonts w:asciiTheme="majorBidi" w:hAnsiTheme="majorBidi" w:cstheme="majorBidi"/>
          <w:color w:val="000000"/>
          <w:sz w:val="24"/>
          <w:szCs w:val="24"/>
        </w:rPr>
        <w:t>)</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who </w:t>
      </w:r>
      <w:r w:rsidR="00FC3FF0">
        <w:rPr>
          <w:rFonts w:asciiTheme="majorBidi" w:hAnsiTheme="majorBidi"/>
          <w:color w:val="000000"/>
          <w:sz w:val="24"/>
        </w:rPr>
        <w:t>explained</w:t>
      </w:r>
      <w:r w:rsidR="00FC3FF0" w:rsidRPr="004C731D">
        <w:rPr>
          <w:rFonts w:asciiTheme="majorBidi" w:hAnsiTheme="majorBidi"/>
          <w:color w:val="000000"/>
          <w:sz w:val="24"/>
        </w:rPr>
        <w:t xml:space="preserve"> </w:t>
      </w:r>
      <w:r w:rsidRPr="0016142F">
        <w:rPr>
          <w:rFonts w:asciiTheme="majorBidi" w:hAnsiTheme="majorBidi"/>
          <w:color w:val="000000"/>
          <w:sz w:val="24"/>
        </w:rPr>
        <w:t xml:space="preserve">this is the most relevant </w:t>
      </w:r>
      <w:r w:rsidR="00FC3FF0">
        <w:rPr>
          <w:rFonts w:asciiTheme="majorBidi" w:hAnsiTheme="majorBidi"/>
          <w:color w:val="000000"/>
          <w:sz w:val="24"/>
        </w:rPr>
        <w:t>decrease in</w:t>
      </w:r>
      <w:r w:rsidRPr="004C731D">
        <w:rPr>
          <w:rFonts w:asciiTheme="majorBidi" w:hAnsiTheme="majorBidi"/>
          <w:color w:val="000000"/>
          <w:sz w:val="24"/>
        </w:rPr>
        <w:t xml:space="preserve"> informal employment of all time. In this sen</w:t>
      </w:r>
      <w:r w:rsidRPr="0016142F">
        <w:rPr>
          <w:rFonts w:asciiTheme="majorBidi" w:hAnsiTheme="majorBidi"/>
          <w:color w:val="000000"/>
          <w:sz w:val="24"/>
        </w:rPr>
        <w:t xml:space="preserve">se, we consider </w:t>
      </w:r>
      <w:r w:rsidRPr="004C731D">
        <w:rPr>
          <w:rFonts w:asciiTheme="majorBidi" w:hAnsiTheme="majorBidi"/>
          <w:color w:val="000000"/>
          <w:sz w:val="24"/>
        </w:rPr>
        <w:t xml:space="preserve">this drop is entirely </w:t>
      </w:r>
      <w:r w:rsidR="00315038">
        <w:rPr>
          <w:rFonts w:asciiTheme="majorBidi" w:hAnsiTheme="majorBidi" w:cstheme="majorBidi"/>
          <w:color w:val="000000"/>
          <w:sz w:val="24"/>
          <w:szCs w:val="24"/>
        </w:rPr>
        <w:t>the result of</w:t>
      </w:r>
      <w:r w:rsidRPr="004C731D">
        <w:rPr>
          <w:rFonts w:asciiTheme="majorBidi" w:hAnsiTheme="majorBidi"/>
          <w:color w:val="000000"/>
          <w:sz w:val="24"/>
        </w:rPr>
        <w:t xml:space="preserve"> the supply effect derived from the confinement </w:t>
      </w:r>
      <w:r w:rsidR="00FC3FF0">
        <w:rPr>
          <w:rFonts w:asciiTheme="majorBidi" w:hAnsiTheme="majorBidi"/>
          <w:color w:val="000000"/>
          <w:sz w:val="24"/>
        </w:rPr>
        <w:t>because</w:t>
      </w:r>
      <w:r w:rsidR="00FC3FF0" w:rsidRPr="004C731D">
        <w:rPr>
          <w:rFonts w:asciiTheme="majorBidi" w:hAnsiTheme="majorBidi"/>
          <w:color w:val="000000"/>
          <w:sz w:val="24"/>
        </w:rPr>
        <w:t xml:space="preserve"> </w:t>
      </w:r>
      <w:r w:rsidR="00315038" w:rsidRPr="0016142F">
        <w:rPr>
          <w:rFonts w:asciiTheme="majorBidi" w:hAnsiTheme="majorBidi"/>
          <w:color w:val="000000"/>
          <w:sz w:val="24"/>
        </w:rPr>
        <w:t>this phenomenon was observed</w:t>
      </w:r>
      <w:r w:rsidR="00315038" w:rsidRPr="004932B4">
        <w:rPr>
          <w:rFonts w:asciiTheme="majorBidi" w:hAnsiTheme="majorBidi" w:cstheme="majorBidi"/>
          <w:color w:val="000000"/>
          <w:sz w:val="24"/>
          <w:szCs w:val="24"/>
        </w:rPr>
        <w:t xml:space="preserve"> </w:t>
      </w:r>
      <w:r w:rsidRPr="004932B4">
        <w:rPr>
          <w:rFonts w:asciiTheme="majorBidi" w:hAnsiTheme="majorBidi" w:cstheme="majorBidi"/>
          <w:color w:val="000000"/>
          <w:sz w:val="24"/>
          <w:szCs w:val="24"/>
        </w:rPr>
        <w:t>in April, May</w:t>
      </w:r>
      <w:r w:rsidR="00385D87">
        <w:rPr>
          <w:rFonts w:asciiTheme="majorBidi" w:hAnsiTheme="majorBidi" w:cstheme="majorBidi"/>
          <w:color w:val="000000"/>
          <w:sz w:val="24"/>
          <w:szCs w:val="24"/>
        </w:rPr>
        <w:t>,</w:t>
      </w:r>
      <w:r w:rsidRPr="004932B4">
        <w:rPr>
          <w:rFonts w:asciiTheme="majorBidi" w:hAnsiTheme="majorBidi" w:cstheme="majorBidi"/>
          <w:color w:val="000000"/>
          <w:sz w:val="24"/>
          <w:szCs w:val="24"/>
        </w:rPr>
        <w:t xml:space="preserve"> and June</w:t>
      </w:r>
      <w:r w:rsidRPr="004C731D">
        <w:rPr>
          <w:rFonts w:asciiTheme="majorBidi" w:hAnsiTheme="majorBidi"/>
          <w:color w:val="000000"/>
          <w:sz w:val="24"/>
        </w:rPr>
        <w:t>, and</w:t>
      </w:r>
      <w:r w:rsidR="00315038">
        <w:rPr>
          <w:rFonts w:asciiTheme="majorBidi" w:hAnsiTheme="majorBidi" w:cstheme="majorBidi"/>
          <w:color w:val="000000"/>
          <w:sz w:val="24"/>
          <w:szCs w:val="24"/>
        </w:rPr>
        <w:t>,</w:t>
      </w:r>
      <w:r w:rsidRPr="004C731D">
        <w:rPr>
          <w:rFonts w:asciiTheme="majorBidi" w:hAnsiTheme="majorBidi"/>
          <w:color w:val="000000"/>
          <w:sz w:val="24"/>
        </w:rPr>
        <w:t xml:space="preserve"> as a consequence</w:t>
      </w:r>
      <w:r w:rsidR="00162105" w:rsidRPr="0016142F">
        <w:rPr>
          <w:rFonts w:asciiTheme="majorBidi" w:hAnsiTheme="majorBidi"/>
          <w:color w:val="000000"/>
          <w:sz w:val="24"/>
        </w:rPr>
        <w:t>,</w:t>
      </w:r>
      <w:r w:rsidRPr="0016142F">
        <w:rPr>
          <w:rFonts w:asciiTheme="majorBidi" w:hAnsiTheme="majorBidi"/>
          <w:color w:val="000000"/>
          <w:sz w:val="24"/>
        </w:rPr>
        <w:t xml:space="preserve"> many companies or businesses had to close and dismiss personnel</w:t>
      </w:r>
      <w:r w:rsidR="00315038">
        <w:rPr>
          <w:rFonts w:asciiTheme="majorBidi" w:hAnsiTheme="majorBidi" w:cstheme="majorBidi"/>
          <w:color w:val="000000"/>
          <w:sz w:val="24"/>
          <w:szCs w:val="24"/>
        </w:rPr>
        <w:t>; in particular,</w:t>
      </w:r>
      <w:r w:rsidR="00315038" w:rsidRPr="004C731D">
        <w:rPr>
          <w:rFonts w:asciiTheme="majorBidi" w:hAnsiTheme="majorBidi"/>
          <w:color w:val="000000"/>
          <w:sz w:val="24"/>
        </w:rPr>
        <w:t xml:space="preserve"> </w:t>
      </w:r>
      <w:r w:rsidRPr="0016142F">
        <w:rPr>
          <w:rFonts w:asciiTheme="majorBidi" w:hAnsiTheme="majorBidi"/>
          <w:color w:val="000000"/>
          <w:sz w:val="24"/>
        </w:rPr>
        <w:t>the tertiary or service sector was the most affected</w:t>
      </w:r>
      <w:r w:rsidRPr="004C731D">
        <w:rPr>
          <w:rFonts w:asciiTheme="majorBidi" w:hAnsiTheme="majorBidi"/>
          <w:color w:val="000000"/>
          <w:sz w:val="24"/>
        </w:rPr>
        <w:t xml:space="preserve"> (Esquivel, 2020). This effect coincides with that reported by Altamirano et al. (2020</w:t>
      </w:r>
      <w:r w:rsidRPr="00A46182">
        <w:rPr>
          <w:rFonts w:asciiTheme="majorBidi" w:hAnsiTheme="majorBidi"/>
          <w:color w:val="000000"/>
          <w:sz w:val="24"/>
        </w:rPr>
        <w:t>)</w:t>
      </w:r>
      <w:r w:rsidR="00FC3FF0">
        <w:rPr>
          <w:rFonts w:asciiTheme="majorBidi" w:hAnsiTheme="majorBidi"/>
          <w:color w:val="000000"/>
          <w:sz w:val="24"/>
        </w:rPr>
        <w:t>,</w:t>
      </w:r>
      <w:r w:rsidRPr="004C731D">
        <w:rPr>
          <w:rFonts w:asciiTheme="majorBidi" w:hAnsiTheme="majorBidi"/>
          <w:color w:val="000000"/>
          <w:sz w:val="24"/>
        </w:rPr>
        <w:t xml:space="preserve"> who </w:t>
      </w:r>
      <w:r w:rsidRPr="00A46182">
        <w:rPr>
          <w:rFonts w:asciiTheme="majorBidi" w:hAnsiTheme="majorBidi"/>
          <w:color w:val="000000"/>
          <w:sz w:val="24"/>
        </w:rPr>
        <w:t>report</w:t>
      </w:r>
      <w:r w:rsidR="00FC3FF0">
        <w:rPr>
          <w:rFonts w:asciiTheme="majorBidi" w:hAnsiTheme="majorBidi"/>
          <w:color w:val="000000"/>
          <w:sz w:val="24"/>
        </w:rPr>
        <w:t>ed</w:t>
      </w:r>
      <w:r w:rsidRPr="004C731D">
        <w:rPr>
          <w:rFonts w:asciiTheme="majorBidi" w:hAnsiTheme="majorBidi"/>
          <w:color w:val="000000"/>
          <w:sz w:val="24"/>
        </w:rPr>
        <w:t xml:space="preserve"> that the tertiary sector has a higher proportion of informal employment in Latin America, such as </w:t>
      </w:r>
      <w:r w:rsidRPr="0016142F">
        <w:rPr>
          <w:rFonts w:asciiTheme="majorBidi" w:hAnsiTheme="majorBidi"/>
          <w:color w:val="000000"/>
          <w:sz w:val="24"/>
        </w:rPr>
        <w:t>social or communal services, commerce, restaurants</w:t>
      </w:r>
      <w:r w:rsidR="007D6709" w:rsidRPr="0016142F">
        <w:rPr>
          <w:rFonts w:asciiTheme="majorBidi" w:hAnsiTheme="majorBidi"/>
          <w:color w:val="000000"/>
          <w:sz w:val="24"/>
        </w:rPr>
        <w:t>,</w:t>
      </w:r>
      <w:r w:rsidRPr="0016142F">
        <w:rPr>
          <w:rFonts w:asciiTheme="majorBidi" w:hAnsiTheme="majorBidi"/>
          <w:color w:val="000000"/>
          <w:sz w:val="24"/>
        </w:rPr>
        <w:t xml:space="preserve"> and hotels, so it can be concluded that, due to the effects of the confinement and closures</w:t>
      </w:r>
      <w:r w:rsidRPr="004C731D">
        <w:rPr>
          <w:rFonts w:asciiTheme="majorBidi" w:hAnsiTheme="majorBidi"/>
          <w:color w:val="000000"/>
          <w:sz w:val="24"/>
        </w:rPr>
        <w:t>, employment was affected for the first time in Mexico to this extent.</w:t>
      </w:r>
    </w:p>
    <w:p w14:paraId="063580E1" w14:textId="3A0D1944" w:rsidR="00C867FB" w:rsidRPr="0016142F" w:rsidRDefault="00C867FB" w:rsidP="001A7636">
      <w:pPr>
        <w:spacing w:after="0" w:line="240" w:lineRule="auto"/>
        <w:jc w:val="both"/>
        <w:rPr>
          <w:rFonts w:asciiTheme="majorBidi" w:hAnsiTheme="majorBidi"/>
          <w:color w:val="000000"/>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AB126B" w14:paraId="202397EC" w14:textId="77777777" w:rsidTr="00AB126B">
        <w:tc>
          <w:tcPr>
            <w:tcW w:w="8838" w:type="dxa"/>
          </w:tcPr>
          <w:p w14:paraId="666086E3" w14:textId="530E4D9D" w:rsidR="00AB126B" w:rsidRPr="00A67E28" w:rsidRDefault="00AB126B" w:rsidP="00DC6EDA">
            <w:pPr>
              <w:jc w:val="both"/>
              <w:rPr>
                <w:rFonts w:asciiTheme="majorBidi" w:hAnsiTheme="majorBidi"/>
                <w:b/>
                <w:bCs/>
                <w:color w:val="000000"/>
                <w:sz w:val="20"/>
                <w:szCs w:val="18"/>
              </w:rPr>
            </w:pPr>
            <w:r w:rsidRPr="00A67E28">
              <w:rPr>
                <w:rFonts w:asciiTheme="majorBidi" w:hAnsiTheme="majorBidi"/>
                <w:b/>
                <w:bCs/>
                <w:color w:val="000000"/>
                <w:sz w:val="20"/>
                <w:szCs w:val="18"/>
              </w:rPr>
              <w:t>Figure 4. C</w:t>
            </w:r>
            <w:r w:rsidR="007F682B" w:rsidRPr="00A67E28">
              <w:rPr>
                <w:rFonts w:asciiTheme="majorBidi" w:hAnsiTheme="majorBidi"/>
                <w:b/>
                <w:bCs/>
                <w:color w:val="000000"/>
                <w:sz w:val="20"/>
                <w:szCs w:val="18"/>
              </w:rPr>
              <w:t>OVID</w:t>
            </w:r>
            <w:r w:rsidRPr="00A67E28">
              <w:rPr>
                <w:rFonts w:asciiTheme="majorBidi" w:hAnsiTheme="majorBidi"/>
                <w:b/>
                <w:bCs/>
                <w:color w:val="000000"/>
                <w:sz w:val="20"/>
                <w:szCs w:val="18"/>
              </w:rPr>
              <w:t>-19 shock and structural effect on men</w:t>
            </w:r>
            <w:r w:rsidR="00317BF0">
              <w:rPr>
                <w:rFonts w:asciiTheme="majorBidi" w:hAnsiTheme="majorBidi"/>
                <w:b/>
                <w:bCs/>
                <w:color w:val="000000"/>
                <w:sz w:val="20"/>
                <w:szCs w:val="18"/>
              </w:rPr>
              <w:t>'</w:t>
            </w:r>
            <w:r w:rsidRPr="00A67E28">
              <w:rPr>
                <w:rFonts w:asciiTheme="majorBidi" w:hAnsiTheme="majorBidi"/>
                <w:b/>
                <w:bCs/>
                <w:color w:val="000000"/>
                <w:sz w:val="20"/>
                <w:szCs w:val="18"/>
              </w:rPr>
              <w:t>s informal labor market</w:t>
            </w:r>
          </w:p>
        </w:tc>
      </w:tr>
      <w:tr w:rsidR="00AB126B" w14:paraId="4927692B" w14:textId="77777777" w:rsidTr="00694F1C">
        <w:tblPrEx>
          <w:tblCellMar>
            <w:left w:w="70" w:type="dxa"/>
            <w:right w:w="70" w:type="dxa"/>
          </w:tblCellMar>
        </w:tblPrEx>
        <w:trPr>
          <w:trHeight w:val="208"/>
        </w:trPr>
        <w:tc>
          <w:tcPr>
            <w:tcW w:w="8838" w:type="dxa"/>
          </w:tcPr>
          <w:p w14:paraId="1087E9F7" w14:textId="115F96D0" w:rsidR="00AB126B" w:rsidRDefault="00694F1C" w:rsidP="00DC6EDA">
            <w:pPr>
              <w:jc w:val="both"/>
              <w:rPr>
                <w:rFonts w:asciiTheme="majorBidi" w:hAnsiTheme="majorBidi"/>
                <w:color w:val="000000"/>
                <w:sz w:val="24"/>
              </w:rPr>
            </w:pPr>
            <w:r>
              <w:rPr>
                <w:noProof/>
              </w:rPr>
              <mc:AlternateContent>
                <mc:Choice Requires="wps">
                  <w:drawing>
                    <wp:anchor distT="0" distB="0" distL="114300" distR="114300" simplePos="0" relativeHeight="251682816" behindDoc="0" locked="0" layoutInCell="1" allowOverlap="1" wp14:anchorId="1B296E80" wp14:editId="484F484F">
                      <wp:simplePos x="0" y="0"/>
                      <wp:positionH relativeFrom="column">
                        <wp:posOffset>3574268</wp:posOffset>
                      </wp:positionH>
                      <wp:positionV relativeFrom="paragraph">
                        <wp:posOffset>564328</wp:posOffset>
                      </wp:positionV>
                      <wp:extent cx="0" cy="174423"/>
                      <wp:effectExtent l="0" t="0" r="38100" b="35560"/>
                      <wp:wrapNone/>
                      <wp:docPr id="57" name="Conector recto 57"/>
                      <wp:cNvGraphicFramePr/>
                      <a:graphic xmlns:a="http://schemas.openxmlformats.org/drawingml/2006/main">
                        <a:graphicData uri="http://schemas.microsoft.com/office/word/2010/wordprocessingShape">
                          <wps:wsp>
                            <wps:cNvCnPr/>
                            <wps:spPr>
                              <a:xfrm>
                                <a:off x="0" y="0"/>
                                <a:ext cx="0" cy="1744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072A6" id="Conector recto 5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1.45pt,44.45pt" to="281.4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" strokecolor="black [3213]"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B81FE77" wp14:editId="70DE7C3B">
                      <wp:simplePos x="0" y="0"/>
                      <wp:positionH relativeFrom="column">
                        <wp:posOffset>3447415</wp:posOffset>
                      </wp:positionH>
                      <wp:positionV relativeFrom="paragraph">
                        <wp:posOffset>559042</wp:posOffset>
                      </wp:positionV>
                      <wp:extent cx="0" cy="248421"/>
                      <wp:effectExtent l="0" t="0" r="38100" b="37465"/>
                      <wp:wrapNone/>
                      <wp:docPr id="56" name="Conector recto 56"/>
                      <wp:cNvGraphicFramePr/>
                      <a:graphic xmlns:a="http://schemas.openxmlformats.org/drawingml/2006/main">
                        <a:graphicData uri="http://schemas.microsoft.com/office/word/2010/wordprocessingShape">
                          <wps:wsp>
                            <wps:cNvCnPr/>
                            <wps:spPr>
                              <a:xfrm>
                                <a:off x="0" y="0"/>
                                <a:ext cx="0" cy="2484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A6B99" id="Conector recto 5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1.45pt,44pt" to="271.4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" strokecolor="black [3213]"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595F4FC" wp14:editId="415CF753">
                      <wp:simplePos x="0" y="0"/>
                      <wp:positionH relativeFrom="column">
                        <wp:posOffset>3130282</wp:posOffset>
                      </wp:positionH>
                      <wp:positionV relativeFrom="paragraph">
                        <wp:posOffset>585470</wp:posOffset>
                      </wp:positionV>
                      <wp:extent cx="0" cy="875441"/>
                      <wp:effectExtent l="0" t="0" r="38100" b="20320"/>
                      <wp:wrapNone/>
                      <wp:docPr id="55" name="Conector recto 55"/>
                      <wp:cNvGraphicFramePr/>
                      <a:graphic xmlns:a="http://schemas.openxmlformats.org/drawingml/2006/main">
                        <a:graphicData uri="http://schemas.microsoft.com/office/word/2010/wordprocessingShape">
                          <wps:wsp>
                            <wps:cNvCnPr/>
                            <wps:spPr>
                              <a:xfrm>
                                <a:off x="0" y="0"/>
                                <a:ext cx="0" cy="875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ABD99" id="Conector recto 5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6.5pt,46.1pt" to="246.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" strokecolor="black [3213]"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7FDA5C6E" wp14:editId="2EA212E5">
                      <wp:simplePos x="0" y="0"/>
                      <wp:positionH relativeFrom="column">
                        <wp:posOffset>3014000</wp:posOffset>
                      </wp:positionH>
                      <wp:positionV relativeFrom="paragraph">
                        <wp:posOffset>596041</wp:posOffset>
                      </wp:positionV>
                      <wp:extent cx="5286" cy="865263"/>
                      <wp:effectExtent l="0" t="0" r="33020" b="30480"/>
                      <wp:wrapNone/>
                      <wp:docPr id="5" name="Conector recto 4">
                        <a:extLst xmlns:a="http://schemas.openxmlformats.org/drawingml/2006/main">
                          <a:ext uri="{FF2B5EF4-FFF2-40B4-BE49-F238E27FC236}">
                            <a16:creationId xmlns:a16="http://schemas.microsoft.com/office/drawing/2014/main" id="{C49BBF76-8B30-4CED-A815-84BFE9E30106}"/>
                          </a:ext>
                        </a:extLst>
                      </wp:docPr>
                      <wp:cNvGraphicFramePr/>
                      <a:graphic xmlns:a="http://schemas.openxmlformats.org/drawingml/2006/main">
                        <a:graphicData uri="http://schemas.microsoft.com/office/word/2010/wordprocessingShape">
                          <wps:wsp>
                            <wps:cNvCnPr/>
                            <wps:spPr>
                              <a:xfrm>
                                <a:off x="0" y="0"/>
                                <a:ext cx="5286" cy="865263"/>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B9063" id="Conector recto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46.95pt" to="237.7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" strokecolor="windowText"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022484E3" wp14:editId="3259C631">
                      <wp:simplePos x="0" y="0"/>
                      <wp:positionH relativeFrom="column">
                        <wp:posOffset>2886482</wp:posOffset>
                      </wp:positionH>
                      <wp:positionV relativeFrom="paragraph">
                        <wp:posOffset>612382</wp:posOffset>
                      </wp:positionV>
                      <wp:extent cx="0" cy="327025"/>
                      <wp:effectExtent l="0" t="0" r="38100" b="34925"/>
                      <wp:wrapNone/>
                      <wp:docPr id="50" name="Conector recto 2"/>
                      <wp:cNvGraphicFramePr/>
                      <a:graphic xmlns:a="http://schemas.openxmlformats.org/drawingml/2006/main">
                        <a:graphicData uri="http://schemas.microsoft.com/office/word/2010/wordprocessingShape">
                          <wps:wsp>
                            <wps:cNvCnPr/>
                            <wps:spPr>
                              <a:xfrm>
                                <a:off x="0" y="0"/>
                                <a:ext cx="0" cy="3270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E4ADB" id="Conector rec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7.3pt,48.2pt" to="227.3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" strokecolor="windowText" strokeweight=".5pt">
                      <v:stroke joinstyle="miter"/>
                    </v:line>
                  </w:pict>
                </mc:Fallback>
              </mc:AlternateContent>
            </w:r>
            <w:r>
              <w:rPr>
                <w:noProof/>
              </w:rPr>
              <w:drawing>
                <wp:anchor distT="0" distB="0" distL="114300" distR="114300" simplePos="0" relativeHeight="251664383" behindDoc="0" locked="0" layoutInCell="1" allowOverlap="1" wp14:anchorId="50691E2E" wp14:editId="350D1897">
                  <wp:simplePos x="0" y="0"/>
                  <wp:positionH relativeFrom="column">
                    <wp:posOffset>-43833</wp:posOffset>
                  </wp:positionH>
                  <wp:positionV relativeFrom="paragraph">
                    <wp:posOffset>14498</wp:posOffset>
                  </wp:positionV>
                  <wp:extent cx="5612130" cy="2681605"/>
                  <wp:effectExtent l="0" t="0" r="7620" b="4445"/>
                  <wp:wrapSquare wrapText="bothSides"/>
                  <wp:docPr id="54" name="Gráfico 54">
                    <a:extLst xmlns:a="http://schemas.openxmlformats.org/drawingml/2006/main">
                      <a:ext uri="{FF2B5EF4-FFF2-40B4-BE49-F238E27FC236}">
                        <a16:creationId xmlns:a16="http://schemas.microsoft.com/office/drawing/2014/main" id="{6E265BBF-384C-4B67-91E1-73C35EFFF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AB126B" w14:paraId="2EEFA293" w14:textId="77777777" w:rsidTr="00AB126B">
        <w:tc>
          <w:tcPr>
            <w:tcW w:w="8838" w:type="dxa"/>
          </w:tcPr>
          <w:p w14:paraId="54106F3B" w14:textId="5AB2BE78" w:rsidR="00C16E0B" w:rsidRPr="00C16E0B" w:rsidRDefault="00C16E0B" w:rsidP="00C16E0B">
            <w:pPr>
              <w:jc w:val="both"/>
              <w:rPr>
                <w:rFonts w:asciiTheme="majorBidi" w:hAnsiTheme="majorBidi"/>
                <w:i/>
                <w:iCs/>
                <w:color w:val="000000"/>
                <w:sz w:val="20"/>
                <w:szCs w:val="18"/>
              </w:rPr>
            </w:pPr>
            <w:r w:rsidRPr="00C16E0B">
              <w:rPr>
                <w:rFonts w:asciiTheme="majorBidi" w:hAnsiTheme="majorBidi"/>
                <w:i/>
                <w:iCs/>
                <w:color w:val="000000"/>
                <w:sz w:val="20"/>
                <w:szCs w:val="18"/>
              </w:rPr>
              <w:t>Source: Own estimations with time series constructed and homologized of employment surveys (ENEU-ENOE).</w:t>
            </w:r>
          </w:p>
          <w:p w14:paraId="07FA788E" w14:textId="1588089F" w:rsidR="00AB126B" w:rsidRPr="00C16E0B" w:rsidRDefault="00C16E0B" w:rsidP="00C16E0B">
            <w:pPr>
              <w:jc w:val="both"/>
              <w:rPr>
                <w:rFonts w:asciiTheme="majorBidi" w:hAnsiTheme="majorBidi"/>
                <w:color w:val="000000"/>
                <w:sz w:val="20"/>
                <w:szCs w:val="18"/>
              </w:rPr>
            </w:pPr>
            <w:r w:rsidRPr="00C16E0B">
              <w:rPr>
                <w:rFonts w:asciiTheme="majorBidi" w:hAnsiTheme="majorBidi"/>
                <w:i/>
                <w:iCs/>
                <w:color w:val="000000"/>
                <w:sz w:val="20"/>
                <w:szCs w:val="18"/>
              </w:rPr>
              <w:t>Notes: trend estimation by VAR model. The data of employment observed of second 2020 quarterly was calculated of ETOE.</w:t>
            </w:r>
          </w:p>
        </w:tc>
      </w:tr>
    </w:tbl>
    <w:p w14:paraId="435BCFE6" w14:textId="52752163" w:rsidR="00ED55D7" w:rsidRDefault="00ED55D7" w:rsidP="00DC6EDA">
      <w:pPr>
        <w:spacing w:after="0" w:line="240" w:lineRule="auto"/>
        <w:jc w:val="both"/>
        <w:rPr>
          <w:rFonts w:asciiTheme="majorBidi" w:hAnsiTheme="majorBidi"/>
          <w:color w:val="000000"/>
          <w:sz w:val="24"/>
        </w:rPr>
      </w:pPr>
    </w:p>
    <w:p w14:paraId="728EA635" w14:textId="658B37E3" w:rsidR="0019039D" w:rsidRDefault="0019039D" w:rsidP="00DC6EDA">
      <w:pPr>
        <w:spacing w:after="0" w:line="240" w:lineRule="auto"/>
        <w:jc w:val="both"/>
        <w:rPr>
          <w:rFonts w:asciiTheme="majorBidi" w:hAnsiTheme="majorBidi"/>
          <w:color w:val="000000"/>
          <w:sz w:val="24"/>
        </w:rPr>
      </w:pPr>
    </w:p>
    <w:p w14:paraId="28EBEA64" w14:textId="7D8BB985" w:rsidR="0019039D" w:rsidRDefault="0019039D" w:rsidP="00DC6EDA">
      <w:pPr>
        <w:spacing w:after="0" w:line="240" w:lineRule="auto"/>
        <w:jc w:val="both"/>
        <w:rPr>
          <w:rFonts w:asciiTheme="majorBidi" w:hAnsiTheme="majorBidi"/>
          <w:color w:val="000000"/>
          <w:sz w:val="24"/>
        </w:rPr>
      </w:pPr>
    </w:p>
    <w:p w14:paraId="7459102F" w14:textId="17CED86F" w:rsidR="0019039D" w:rsidRDefault="0019039D" w:rsidP="00DC6EDA">
      <w:pPr>
        <w:spacing w:after="0" w:line="240" w:lineRule="auto"/>
        <w:jc w:val="both"/>
        <w:rPr>
          <w:rFonts w:asciiTheme="majorBidi" w:hAnsiTheme="majorBidi"/>
          <w:color w:val="000000"/>
          <w:sz w:val="24"/>
        </w:rPr>
      </w:pPr>
    </w:p>
    <w:p w14:paraId="7551C974" w14:textId="5DAA4AA5" w:rsidR="0019039D" w:rsidRDefault="0019039D" w:rsidP="00DC6EDA">
      <w:pPr>
        <w:spacing w:after="0" w:line="240" w:lineRule="auto"/>
        <w:jc w:val="both"/>
        <w:rPr>
          <w:rFonts w:asciiTheme="majorBidi" w:hAnsiTheme="majorBidi"/>
          <w:color w:val="000000"/>
          <w:sz w:val="24"/>
        </w:rPr>
      </w:pPr>
    </w:p>
    <w:p w14:paraId="68FE7E2C" w14:textId="77777777" w:rsidR="0019039D" w:rsidRPr="00666047" w:rsidRDefault="0019039D" w:rsidP="00DC6EDA">
      <w:pPr>
        <w:spacing w:after="0" w:line="240" w:lineRule="auto"/>
        <w:jc w:val="both"/>
        <w:rPr>
          <w:rFonts w:asciiTheme="majorBidi" w:hAnsiTheme="majorBidi"/>
          <w:color w:val="000000"/>
          <w:sz w:val="24"/>
        </w:rPr>
      </w:pPr>
    </w:p>
    <w:p w14:paraId="24CF1DDD" w14:textId="3133B564" w:rsidR="00BB3914" w:rsidRDefault="00BB3914" w:rsidP="00FA1AE7">
      <w:pPr>
        <w:spacing w:after="0" w:line="240" w:lineRule="auto"/>
        <w:jc w:val="both"/>
        <w:rPr>
          <w:rFonts w:asciiTheme="majorBidi" w:hAnsiTheme="majorBidi"/>
          <w:color w:val="000000"/>
          <w:sz w:val="24"/>
        </w:rPr>
      </w:pPr>
    </w:p>
    <w:p w14:paraId="27C296DF" w14:textId="6F229ECF" w:rsidR="00185C04" w:rsidRDefault="00185C04" w:rsidP="00FA1AE7">
      <w:pPr>
        <w:spacing w:after="0" w:line="240" w:lineRule="auto"/>
        <w:jc w:val="both"/>
        <w:rPr>
          <w:rFonts w:asciiTheme="majorBidi" w:hAnsiTheme="majorBidi"/>
          <w:color w:val="000000"/>
          <w:sz w:val="24"/>
        </w:rPr>
      </w:pPr>
    </w:p>
    <w:p w14:paraId="1E335513" w14:textId="77777777" w:rsidR="00185C04" w:rsidRPr="0016142F" w:rsidRDefault="00185C04" w:rsidP="00FA1AE7">
      <w:pPr>
        <w:spacing w:after="0" w:line="240" w:lineRule="auto"/>
        <w:jc w:val="both"/>
        <w:rPr>
          <w:rFonts w:asciiTheme="majorBidi" w:hAnsiTheme="majorBidi"/>
          <w:color w:val="000000"/>
          <w:sz w:val="24"/>
        </w:rPr>
      </w:pPr>
    </w:p>
    <w:tbl>
      <w:tblPr>
        <w:tblStyle w:val="Tablaconcuadrcula"/>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1"/>
      </w:tblGrid>
      <w:tr w:rsidR="00BB3914" w14:paraId="1DC48955" w14:textId="77777777" w:rsidTr="000A2D40">
        <w:trPr>
          <w:trHeight w:val="304"/>
        </w:trPr>
        <w:tc>
          <w:tcPr>
            <w:tcW w:w="9151" w:type="dxa"/>
          </w:tcPr>
          <w:p w14:paraId="2C1431BA" w14:textId="183F7AF4" w:rsidR="00BB3914" w:rsidRPr="00A67E28" w:rsidRDefault="00BB3914" w:rsidP="00DC6EDA">
            <w:pPr>
              <w:jc w:val="both"/>
              <w:rPr>
                <w:rFonts w:asciiTheme="majorBidi" w:hAnsiTheme="majorBidi"/>
                <w:b/>
                <w:bCs/>
                <w:color w:val="000000"/>
                <w:sz w:val="20"/>
                <w:szCs w:val="18"/>
              </w:rPr>
            </w:pPr>
            <w:r w:rsidRPr="00A67E28">
              <w:rPr>
                <w:rFonts w:asciiTheme="majorBidi" w:hAnsiTheme="majorBidi"/>
                <w:b/>
                <w:bCs/>
                <w:color w:val="000000"/>
                <w:sz w:val="20"/>
                <w:szCs w:val="18"/>
              </w:rPr>
              <w:lastRenderedPageBreak/>
              <w:t>Figure 5. C</w:t>
            </w:r>
            <w:r w:rsidR="007F682B" w:rsidRPr="00A67E28">
              <w:rPr>
                <w:rFonts w:asciiTheme="majorBidi" w:hAnsiTheme="majorBidi"/>
                <w:b/>
                <w:bCs/>
                <w:color w:val="000000"/>
                <w:sz w:val="20"/>
                <w:szCs w:val="18"/>
              </w:rPr>
              <w:t>OVID</w:t>
            </w:r>
            <w:r w:rsidRPr="00A67E28">
              <w:rPr>
                <w:rFonts w:asciiTheme="majorBidi" w:hAnsiTheme="majorBidi"/>
                <w:b/>
                <w:bCs/>
                <w:color w:val="000000"/>
                <w:sz w:val="20"/>
                <w:szCs w:val="18"/>
              </w:rPr>
              <w:t>-19 shock and structural effect on women</w:t>
            </w:r>
            <w:r w:rsidR="00317BF0">
              <w:rPr>
                <w:rFonts w:asciiTheme="majorBidi" w:hAnsiTheme="majorBidi"/>
                <w:b/>
                <w:bCs/>
                <w:color w:val="000000"/>
                <w:sz w:val="20"/>
                <w:szCs w:val="18"/>
              </w:rPr>
              <w:t>'</w:t>
            </w:r>
            <w:r w:rsidRPr="00A67E28">
              <w:rPr>
                <w:rFonts w:asciiTheme="majorBidi" w:hAnsiTheme="majorBidi"/>
                <w:b/>
                <w:bCs/>
                <w:color w:val="000000"/>
                <w:sz w:val="20"/>
                <w:szCs w:val="18"/>
              </w:rPr>
              <w:t>s informal labor market</w:t>
            </w:r>
          </w:p>
        </w:tc>
      </w:tr>
      <w:tr w:rsidR="00BB3914" w14:paraId="6E6EBC0C" w14:textId="77777777" w:rsidTr="00FA1AE7">
        <w:tblPrEx>
          <w:tblCellMar>
            <w:left w:w="70" w:type="dxa"/>
            <w:right w:w="70" w:type="dxa"/>
          </w:tblCellMar>
        </w:tblPrEx>
        <w:trPr>
          <w:trHeight w:val="255"/>
        </w:trPr>
        <w:tc>
          <w:tcPr>
            <w:tcW w:w="9151" w:type="dxa"/>
          </w:tcPr>
          <w:p w14:paraId="17D556C7" w14:textId="59D17750" w:rsidR="00BB3914" w:rsidRDefault="00FA1AE7" w:rsidP="00DC6EDA">
            <w:pPr>
              <w:jc w:val="both"/>
              <w:rPr>
                <w:rFonts w:asciiTheme="majorBidi" w:hAnsiTheme="majorBidi"/>
                <w:color w:val="000000"/>
                <w:sz w:val="24"/>
              </w:rPr>
            </w:pPr>
            <w:r>
              <w:rPr>
                <w:noProof/>
              </w:rPr>
              <w:drawing>
                <wp:anchor distT="0" distB="0" distL="114300" distR="114300" simplePos="0" relativeHeight="251683840" behindDoc="0" locked="0" layoutInCell="1" allowOverlap="1" wp14:anchorId="53DB0B75" wp14:editId="7CD4284E">
                  <wp:simplePos x="0" y="0"/>
                  <wp:positionH relativeFrom="column">
                    <wp:posOffset>5939</wp:posOffset>
                  </wp:positionH>
                  <wp:positionV relativeFrom="paragraph">
                    <wp:posOffset>121883</wp:posOffset>
                  </wp:positionV>
                  <wp:extent cx="5655310" cy="2694305"/>
                  <wp:effectExtent l="0" t="0" r="2540" b="0"/>
                  <wp:wrapSquare wrapText="bothSides"/>
                  <wp:docPr id="59" name="Gráfico 59">
                    <a:extLst xmlns:a="http://schemas.openxmlformats.org/drawingml/2006/main">
                      <a:ext uri="{FF2B5EF4-FFF2-40B4-BE49-F238E27FC236}">
                        <a16:creationId xmlns:a16="http://schemas.microsoft.com/office/drawing/2014/main" id="{363583AB-C55E-4C20-961F-39937E887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tc>
      </w:tr>
      <w:tr w:rsidR="00BB3914" w14:paraId="5BFB18E3" w14:textId="77777777" w:rsidTr="000A2D40">
        <w:trPr>
          <w:trHeight w:val="433"/>
        </w:trPr>
        <w:tc>
          <w:tcPr>
            <w:tcW w:w="9151" w:type="dxa"/>
          </w:tcPr>
          <w:p w14:paraId="1E93A242" w14:textId="77777777" w:rsidR="00BD23D7" w:rsidRPr="00C16E0B" w:rsidRDefault="00BD23D7" w:rsidP="00BD23D7">
            <w:pPr>
              <w:jc w:val="both"/>
              <w:rPr>
                <w:rFonts w:asciiTheme="majorBidi" w:hAnsiTheme="majorBidi"/>
                <w:i/>
                <w:iCs/>
                <w:color w:val="000000"/>
                <w:sz w:val="20"/>
                <w:szCs w:val="18"/>
              </w:rPr>
            </w:pPr>
            <w:r w:rsidRPr="00C16E0B">
              <w:rPr>
                <w:rFonts w:asciiTheme="majorBidi" w:hAnsiTheme="majorBidi"/>
                <w:i/>
                <w:iCs/>
                <w:color w:val="000000"/>
                <w:sz w:val="20"/>
                <w:szCs w:val="18"/>
              </w:rPr>
              <w:t>Source: Own estimations with time series constructed and homologized of employment surveys (ENEU-ENOE).</w:t>
            </w:r>
          </w:p>
          <w:p w14:paraId="29311B8F" w14:textId="20C47DBE" w:rsidR="00BB3914" w:rsidRDefault="00BD23D7" w:rsidP="00BD23D7">
            <w:pPr>
              <w:jc w:val="both"/>
              <w:rPr>
                <w:rFonts w:asciiTheme="majorBidi" w:hAnsiTheme="majorBidi"/>
                <w:color w:val="000000"/>
                <w:sz w:val="24"/>
              </w:rPr>
            </w:pPr>
            <w:r w:rsidRPr="00C16E0B">
              <w:rPr>
                <w:rFonts w:asciiTheme="majorBidi" w:hAnsiTheme="majorBidi"/>
                <w:i/>
                <w:iCs/>
                <w:color w:val="000000"/>
                <w:sz w:val="20"/>
                <w:szCs w:val="18"/>
              </w:rPr>
              <w:t>Notes: trend estimation by VAR model. The data of employment observed of second 2020 quarterly was calculated of ETOE.</w:t>
            </w:r>
          </w:p>
        </w:tc>
      </w:tr>
    </w:tbl>
    <w:p w14:paraId="34BE65E9" w14:textId="77777777" w:rsidR="00ED55D7" w:rsidRPr="00666047" w:rsidRDefault="00ED55D7" w:rsidP="00DC6EDA">
      <w:pPr>
        <w:spacing w:after="0" w:line="240" w:lineRule="auto"/>
        <w:jc w:val="both"/>
        <w:rPr>
          <w:rFonts w:asciiTheme="majorBidi" w:hAnsiTheme="majorBidi"/>
          <w:color w:val="000000"/>
          <w:sz w:val="24"/>
        </w:rPr>
      </w:pPr>
    </w:p>
    <w:p w14:paraId="49638833" w14:textId="1B1D47DC" w:rsidR="00185C04" w:rsidRDefault="00185C04" w:rsidP="00374CA5">
      <w:pPr>
        <w:spacing w:after="0" w:line="240" w:lineRule="auto"/>
        <w:jc w:val="both"/>
        <w:rPr>
          <w:rFonts w:asciiTheme="majorBidi" w:hAnsiTheme="majorBidi"/>
          <w:color w:val="000000"/>
          <w:sz w:val="24"/>
        </w:rPr>
      </w:pPr>
      <w:r w:rsidRPr="00666047">
        <w:rPr>
          <w:rFonts w:asciiTheme="majorBidi" w:hAnsiTheme="majorBidi"/>
          <w:color w:val="000000"/>
          <w:sz w:val="24"/>
        </w:rPr>
        <w:t>For women</w:t>
      </w:r>
      <w:r w:rsidR="005D485C">
        <w:rPr>
          <w:rFonts w:asciiTheme="majorBidi" w:hAnsiTheme="majorBidi"/>
          <w:color w:val="000000"/>
          <w:sz w:val="24"/>
        </w:rPr>
        <w:t xml:space="preserve"> (Figure 5)</w:t>
      </w:r>
      <w:r w:rsidRPr="00666047">
        <w:rPr>
          <w:rFonts w:asciiTheme="majorBidi" w:hAnsiTheme="majorBidi"/>
          <w:color w:val="000000"/>
          <w:sz w:val="24"/>
        </w:rPr>
        <w:t xml:space="preserve">, the drop was almost of the same magnitude as for men (-42.9%), an unexpected impact for this sector. Despite the </w:t>
      </w:r>
      <w:r w:rsidR="002A0588">
        <w:rPr>
          <w:rFonts w:asciiTheme="majorBidi" w:hAnsiTheme="majorBidi"/>
          <w:color w:val="000000"/>
          <w:sz w:val="24"/>
        </w:rPr>
        <w:t>substantial</w:t>
      </w:r>
      <w:r w:rsidRPr="00666047">
        <w:rPr>
          <w:rFonts w:asciiTheme="majorBidi" w:hAnsiTheme="majorBidi"/>
          <w:color w:val="000000"/>
          <w:sz w:val="24"/>
        </w:rPr>
        <w:t xml:space="preserve"> employment losses in both groups, it can be observed that </w:t>
      </w:r>
      <w:r w:rsidRPr="004C731D">
        <w:rPr>
          <w:rFonts w:asciiTheme="majorBidi" w:hAnsiTheme="majorBidi"/>
          <w:color w:val="000000"/>
          <w:sz w:val="24"/>
        </w:rPr>
        <w:t xml:space="preserve">employment </w:t>
      </w:r>
      <w:r>
        <w:rPr>
          <w:rFonts w:asciiTheme="majorBidi" w:hAnsiTheme="majorBidi" w:cstheme="majorBidi"/>
          <w:color w:val="000000"/>
          <w:sz w:val="24"/>
          <w:szCs w:val="24"/>
        </w:rPr>
        <w:t>began</w:t>
      </w:r>
      <w:r w:rsidRPr="004C731D">
        <w:rPr>
          <w:rFonts w:asciiTheme="majorBidi" w:hAnsiTheme="majorBidi"/>
          <w:color w:val="000000"/>
          <w:sz w:val="24"/>
        </w:rPr>
        <w:t xml:space="preserve"> </w:t>
      </w:r>
      <w:r w:rsidRPr="0016142F">
        <w:rPr>
          <w:rFonts w:asciiTheme="majorBidi" w:hAnsiTheme="majorBidi"/>
          <w:color w:val="000000"/>
          <w:sz w:val="24"/>
        </w:rPr>
        <w:t>to recover for both groups</w:t>
      </w:r>
      <w:r w:rsidRPr="001A7636">
        <w:rPr>
          <w:rFonts w:asciiTheme="majorBidi" w:hAnsiTheme="majorBidi"/>
          <w:color w:val="000000"/>
          <w:sz w:val="24"/>
        </w:rPr>
        <w:t xml:space="preserve"> </w:t>
      </w:r>
      <w:r w:rsidRPr="00A46182">
        <w:rPr>
          <w:rFonts w:asciiTheme="majorBidi" w:hAnsiTheme="majorBidi"/>
          <w:color w:val="000000"/>
          <w:sz w:val="24"/>
        </w:rPr>
        <w:t>from 2020:Q3 onwards</w:t>
      </w:r>
      <w:r>
        <w:rPr>
          <w:rFonts w:asciiTheme="majorBidi" w:hAnsiTheme="majorBidi"/>
          <w:color w:val="000000"/>
          <w:sz w:val="24"/>
        </w:rPr>
        <w:t>.</w:t>
      </w:r>
    </w:p>
    <w:p w14:paraId="7C6EFC9B" w14:textId="77777777" w:rsidR="00185C04" w:rsidRDefault="00185C04" w:rsidP="00374CA5">
      <w:pPr>
        <w:spacing w:after="0" w:line="240" w:lineRule="auto"/>
        <w:jc w:val="both"/>
        <w:rPr>
          <w:rFonts w:asciiTheme="majorBidi" w:hAnsiTheme="majorBidi"/>
          <w:color w:val="000000"/>
          <w:sz w:val="24"/>
        </w:rPr>
      </w:pPr>
    </w:p>
    <w:p w14:paraId="752133AB" w14:textId="204CA05C" w:rsidR="004932B4" w:rsidRPr="004C731D" w:rsidRDefault="00A67E28" w:rsidP="00374CA5">
      <w:pPr>
        <w:spacing w:after="0" w:line="240" w:lineRule="auto"/>
        <w:jc w:val="both"/>
        <w:rPr>
          <w:rFonts w:asciiTheme="majorBidi" w:hAnsiTheme="majorBidi"/>
          <w:color w:val="000000"/>
          <w:sz w:val="24"/>
        </w:rPr>
      </w:pPr>
      <w:r>
        <w:rPr>
          <w:rFonts w:asciiTheme="majorBidi" w:hAnsiTheme="majorBidi"/>
          <w:color w:val="000000"/>
          <w:sz w:val="24"/>
        </w:rPr>
        <w:t>Concluding this section</w:t>
      </w:r>
      <w:r w:rsidR="004932B4" w:rsidRPr="00666047">
        <w:rPr>
          <w:rFonts w:asciiTheme="majorBidi" w:hAnsiTheme="majorBidi"/>
          <w:color w:val="000000"/>
          <w:sz w:val="24"/>
        </w:rPr>
        <w:t>, to estimate a scenario of recovery in informal employment</w:t>
      </w:r>
      <w:r w:rsidR="00315038">
        <w:rPr>
          <w:rFonts w:asciiTheme="majorBidi" w:hAnsiTheme="majorBidi" w:cstheme="majorBidi"/>
          <w:color w:val="000000"/>
          <w:sz w:val="24"/>
          <w:szCs w:val="24"/>
        </w:rPr>
        <w:t>,</w:t>
      </w:r>
      <w:r w:rsidR="004932B4" w:rsidRPr="004C731D">
        <w:rPr>
          <w:rFonts w:asciiTheme="majorBidi" w:hAnsiTheme="majorBidi"/>
          <w:color w:val="000000"/>
          <w:sz w:val="24"/>
        </w:rPr>
        <w:t xml:space="preserve"> we had to </w:t>
      </w:r>
      <w:r w:rsidR="00315038">
        <w:rPr>
          <w:rFonts w:asciiTheme="majorBidi" w:hAnsiTheme="majorBidi" w:cstheme="majorBidi"/>
          <w:color w:val="000000"/>
          <w:sz w:val="24"/>
          <w:szCs w:val="24"/>
        </w:rPr>
        <w:t>consider</w:t>
      </w:r>
      <w:r w:rsidR="004932B4" w:rsidRPr="004C731D">
        <w:rPr>
          <w:rFonts w:asciiTheme="majorBidi" w:hAnsiTheme="majorBidi"/>
          <w:color w:val="000000"/>
          <w:sz w:val="24"/>
        </w:rPr>
        <w:t xml:space="preserve"> </w:t>
      </w:r>
      <w:r w:rsidR="004932B4" w:rsidRPr="00666047">
        <w:rPr>
          <w:rFonts w:asciiTheme="majorBidi" w:hAnsiTheme="majorBidi"/>
          <w:color w:val="000000"/>
          <w:sz w:val="24"/>
        </w:rPr>
        <w:t>another technique because the model predicts with very little strength the fall in informal employment due to inelasticity in the face of economic changes. As an exercise, we applied the growth rates estimated with the impulse response functions plus the sum of the long-term trend,</w:t>
      </w:r>
      <w:r w:rsidR="00F3103F" w:rsidRPr="00666047">
        <w:rPr>
          <w:rFonts w:asciiTheme="majorBidi" w:hAnsiTheme="majorBidi"/>
          <w:color w:val="000000"/>
          <w:sz w:val="24"/>
        </w:rPr>
        <w:t xml:space="preserve"> </w:t>
      </w:r>
      <w:r w:rsidR="00F3103F">
        <w:rPr>
          <w:rFonts w:asciiTheme="majorBidi" w:hAnsiTheme="majorBidi" w:cstheme="majorBidi"/>
          <w:color w:val="000000"/>
          <w:sz w:val="24"/>
          <w:szCs w:val="24"/>
        </w:rPr>
        <w:t>and we applied</w:t>
      </w:r>
      <w:r w:rsidR="004932B4" w:rsidRPr="004932B4">
        <w:rPr>
          <w:rFonts w:asciiTheme="majorBidi" w:hAnsiTheme="majorBidi" w:cstheme="majorBidi"/>
          <w:color w:val="000000"/>
          <w:sz w:val="24"/>
          <w:szCs w:val="24"/>
        </w:rPr>
        <w:t xml:space="preserve"> </w:t>
      </w:r>
      <w:r w:rsidR="004932B4" w:rsidRPr="004C731D">
        <w:rPr>
          <w:rFonts w:asciiTheme="majorBidi" w:hAnsiTheme="majorBidi"/>
          <w:color w:val="000000"/>
          <w:sz w:val="24"/>
        </w:rPr>
        <w:t>this growth rate to the last observation of observed employment (2020</w:t>
      </w:r>
      <w:r w:rsidR="002D2E99" w:rsidRPr="0016142F">
        <w:rPr>
          <w:rFonts w:asciiTheme="majorBidi" w:hAnsiTheme="majorBidi"/>
          <w:color w:val="000000"/>
          <w:sz w:val="24"/>
        </w:rPr>
        <w:t>:Q</w:t>
      </w:r>
      <w:r w:rsidR="004932B4" w:rsidRPr="0016142F">
        <w:rPr>
          <w:rFonts w:asciiTheme="majorBidi" w:hAnsiTheme="majorBidi"/>
          <w:color w:val="000000"/>
          <w:sz w:val="24"/>
        </w:rPr>
        <w:t xml:space="preserve">4). For the male group, informal employment hypothetically </w:t>
      </w:r>
      <w:r w:rsidR="003741BF">
        <w:rPr>
          <w:rFonts w:asciiTheme="majorBidi" w:hAnsiTheme="majorBidi" w:cstheme="majorBidi"/>
          <w:color w:val="000000"/>
          <w:sz w:val="24"/>
          <w:szCs w:val="24"/>
        </w:rPr>
        <w:t>began</w:t>
      </w:r>
      <w:r w:rsidR="003741BF" w:rsidRPr="004C731D">
        <w:rPr>
          <w:rFonts w:asciiTheme="majorBidi" w:hAnsiTheme="majorBidi"/>
          <w:color w:val="000000"/>
          <w:sz w:val="24"/>
        </w:rPr>
        <w:t xml:space="preserve"> </w:t>
      </w:r>
      <w:r w:rsidR="004932B4" w:rsidRPr="0016142F">
        <w:rPr>
          <w:rFonts w:asciiTheme="majorBidi" w:hAnsiTheme="majorBidi"/>
          <w:color w:val="000000"/>
          <w:sz w:val="24"/>
        </w:rPr>
        <w:t>to recover by the beginning of 2022 (pre-</w:t>
      </w:r>
      <w:r w:rsidR="002D2E99" w:rsidRPr="0016142F">
        <w:rPr>
          <w:rFonts w:asciiTheme="majorBidi" w:hAnsiTheme="majorBidi"/>
          <w:color w:val="000000"/>
          <w:sz w:val="24"/>
        </w:rPr>
        <w:t>COVID-</w:t>
      </w:r>
      <w:r w:rsidR="004932B4" w:rsidRPr="0016142F">
        <w:rPr>
          <w:rFonts w:asciiTheme="majorBidi" w:hAnsiTheme="majorBidi"/>
          <w:color w:val="000000"/>
          <w:sz w:val="24"/>
        </w:rPr>
        <w:t>19 employment level). On the</w:t>
      </w:r>
      <w:r w:rsidR="0044529C" w:rsidRPr="0016142F">
        <w:rPr>
          <w:rFonts w:asciiTheme="majorBidi" w:hAnsiTheme="majorBidi"/>
          <w:color w:val="000000"/>
          <w:sz w:val="24"/>
        </w:rPr>
        <w:t xml:space="preserve"> other hand</w:t>
      </w:r>
      <w:r w:rsidR="004932B4" w:rsidRPr="0016142F">
        <w:rPr>
          <w:rFonts w:asciiTheme="majorBidi" w:hAnsiTheme="majorBidi"/>
          <w:color w:val="000000"/>
          <w:sz w:val="24"/>
        </w:rPr>
        <w:t xml:space="preserve">, </w:t>
      </w:r>
      <w:r w:rsidR="003741BF" w:rsidRPr="004C731D">
        <w:rPr>
          <w:rFonts w:asciiTheme="majorBidi" w:hAnsiTheme="majorBidi"/>
          <w:color w:val="000000"/>
          <w:sz w:val="24"/>
        </w:rPr>
        <w:t xml:space="preserve">by this same point </w:t>
      </w:r>
      <w:r w:rsidR="003741BF">
        <w:rPr>
          <w:rFonts w:asciiTheme="majorBidi" w:hAnsiTheme="majorBidi" w:cstheme="majorBidi"/>
          <w:color w:val="000000"/>
          <w:sz w:val="24"/>
          <w:szCs w:val="24"/>
        </w:rPr>
        <w:t>(</w:t>
      </w:r>
      <w:r w:rsidR="003741BF" w:rsidRPr="004C731D">
        <w:rPr>
          <w:rFonts w:asciiTheme="majorBidi" w:hAnsiTheme="majorBidi"/>
          <w:color w:val="000000"/>
          <w:sz w:val="24"/>
        </w:rPr>
        <w:t>2022</w:t>
      </w:r>
      <w:r w:rsidR="003741BF" w:rsidRPr="0016142F">
        <w:rPr>
          <w:rFonts w:asciiTheme="majorBidi" w:hAnsiTheme="majorBidi"/>
          <w:color w:val="000000"/>
          <w:sz w:val="24"/>
        </w:rPr>
        <w:t>:Q1</w:t>
      </w:r>
      <w:r w:rsidR="003741BF">
        <w:rPr>
          <w:rFonts w:asciiTheme="majorBidi" w:hAnsiTheme="majorBidi" w:cstheme="majorBidi"/>
          <w:color w:val="000000"/>
          <w:sz w:val="24"/>
          <w:szCs w:val="24"/>
        </w:rPr>
        <w:t xml:space="preserve">), </w:t>
      </w:r>
      <w:r w:rsidR="004932B4" w:rsidRPr="00A707BF">
        <w:rPr>
          <w:rFonts w:asciiTheme="majorBidi" w:hAnsiTheme="majorBidi" w:cstheme="majorBidi"/>
          <w:color w:val="000000"/>
          <w:sz w:val="24"/>
          <w:szCs w:val="24"/>
        </w:rPr>
        <w:t xml:space="preserve">women </w:t>
      </w:r>
      <w:r w:rsidR="003741BF">
        <w:rPr>
          <w:rFonts w:asciiTheme="majorBidi" w:hAnsiTheme="majorBidi" w:cstheme="majorBidi"/>
          <w:color w:val="000000"/>
          <w:sz w:val="24"/>
          <w:szCs w:val="24"/>
        </w:rPr>
        <w:t>are expected to reach a</w:t>
      </w:r>
      <w:r w:rsidR="004932B4" w:rsidRPr="004C731D">
        <w:rPr>
          <w:rFonts w:asciiTheme="majorBidi" w:hAnsiTheme="majorBidi"/>
          <w:color w:val="000000"/>
          <w:sz w:val="24"/>
        </w:rPr>
        <w:t xml:space="preserve"> level of employment </w:t>
      </w:r>
      <w:r w:rsidR="003741BF">
        <w:rPr>
          <w:rFonts w:asciiTheme="majorBidi" w:hAnsiTheme="majorBidi" w:cstheme="majorBidi"/>
          <w:color w:val="000000"/>
          <w:sz w:val="24"/>
          <w:szCs w:val="24"/>
        </w:rPr>
        <w:t>that</w:t>
      </w:r>
      <w:r w:rsidR="004932B4" w:rsidRPr="00A707BF">
        <w:rPr>
          <w:rFonts w:asciiTheme="majorBidi" w:hAnsiTheme="majorBidi" w:cstheme="majorBidi"/>
          <w:color w:val="000000"/>
          <w:sz w:val="24"/>
          <w:szCs w:val="24"/>
        </w:rPr>
        <w:t xml:space="preserve"> </w:t>
      </w:r>
      <w:r w:rsidR="004932B4" w:rsidRPr="004C731D">
        <w:rPr>
          <w:rFonts w:asciiTheme="majorBidi" w:hAnsiTheme="majorBidi"/>
          <w:color w:val="000000"/>
          <w:sz w:val="24"/>
        </w:rPr>
        <w:t xml:space="preserve">is </w:t>
      </w:r>
      <w:r w:rsidR="004932B4" w:rsidRPr="00A707BF">
        <w:rPr>
          <w:rFonts w:asciiTheme="majorBidi" w:hAnsiTheme="majorBidi" w:cstheme="majorBidi"/>
          <w:color w:val="000000"/>
          <w:sz w:val="24"/>
          <w:szCs w:val="24"/>
        </w:rPr>
        <w:t xml:space="preserve">approximate </w:t>
      </w:r>
      <w:r w:rsidR="003741BF">
        <w:rPr>
          <w:rFonts w:asciiTheme="majorBidi" w:hAnsiTheme="majorBidi" w:cstheme="majorBidi"/>
          <w:color w:val="000000"/>
          <w:sz w:val="24"/>
          <w:szCs w:val="24"/>
        </w:rPr>
        <w:t>to</w:t>
      </w:r>
      <w:r w:rsidR="003741BF" w:rsidRPr="004C731D">
        <w:rPr>
          <w:rFonts w:asciiTheme="majorBidi" w:hAnsiTheme="majorBidi"/>
          <w:color w:val="000000"/>
          <w:sz w:val="24"/>
        </w:rPr>
        <w:t xml:space="preserve"> </w:t>
      </w:r>
      <w:r w:rsidR="004932B4" w:rsidRPr="0016142F">
        <w:rPr>
          <w:rFonts w:asciiTheme="majorBidi" w:hAnsiTheme="majorBidi"/>
          <w:color w:val="000000"/>
          <w:sz w:val="24"/>
        </w:rPr>
        <w:t>the one observed at the end of 2018</w:t>
      </w:r>
      <w:r w:rsidR="002D2E99" w:rsidRPr="0016142F">
        <w:rPr>
          <w:rFonts w:asciiTheme="majorBidi" w:hAnsiTheme="majorBidi"/>
          <w:color w:val="000000"/>
          <w:sz w:val="24"/>
        </w:rPr>
        <w:t>:Q</w:t>
      </w:r>
      <w:r w:rsidR="004932B4" w:rsidRPr="0016142F">
        <w:rPr>
          <w:rFonts w:asciiTheme="majorBidi" w:hAnsiTheme="majorBidi"/>
          <w:color w:val="000000"/>
          <w:sz w:val="24"/>
        </w:rPr>
        <w:t>4</w:t>
      </w:r>
      <w:r w:rsidR="004932B4" w:rsidRPr="00A46182">
        <w:rPr>
          <w:rFonts w:asciiTheme="majorBidi" w:hAnsiTheme="majorBidi"/>
          <w:color w:val="000000"/>
          <w:sz w:val="24"/>
        </w:rPr>
        <w:t xml:space="preserve"> </w:t>
      </w:r>
      <w:r w:rsidR="00374CA5">
        <w:rPr>
          <w:rFonts w:asciiTheme="majorBidi" w:hAnsiTheme="majorBidi"/>
          <w:color w:val="000000"/>
          <w:sz w:val="24"/>
        </w:rPr>
        <w:t>(i.e.,</w:t>
      </w:r>
      <w:r w:rsidR="00374CA5" w:rsidRPr="004C731D">
        <w:rPr>
          <w:rFonts w:asciiTheme="majorBidi" w:hAnsiTheme="majorBidi"/>
          <w:color w:val="000000"/>
          <w:sz w:val="24"/>
        </w:rPr>
        <w:t xml:space="preserve"> </w:t>
      </w:r>
      <w:r w:rsidR="004932B4" w:rsidRPr="0016142F">
        <w:rPr>
          <w:rFonts w:asciiTheme="majorBidi" w:hAnsiTheme="majorBidi"/>
          <w:color w:val="000000"/>
          <w:sz w:val="24"/>
        </w:rPr>
        <w:t xml:space="preserve">around </w:t>
      </w:r>
      <w:r w:rsidR="00374CA5">
        <w:rPr>
          <w:rFonts w:asciiTheme="majorBidi" w:hAnsiTheme="majorBidi"/>
          <w:color w:val="000000"/>
          <w:sz w:val="24"/>
        </w:rPr>
        <w:t>5</w:t>
      </w:r>
      <w:r w:rsidR="00374CA5" w:rsidRPr="004C731D">
        <w:rPr>
          <w:rFonts w:asciiTheme="majorBidi" w:hAnsiTheme="majorBidi"/>
          <w:color w:val="000000"/>
          <w:sz w:val="24"/>
        </w:rPr>
        <w:t xml:space="preserve"> </w:t>
      </w:r>
      <w:r w:rsidR="004932B4" w:rsidRPr="0016142F">
        <w:rPr>
          <w:rFonts w:asciiTheme="majorBidi" w:hAnsiTheme="majorBidi"/>
          <w:color w:val="000000"/>
          <w:sz w:val="24"/>
        </w:rPr>
        <w:t>million jobs</w:t>
      </w:r>
      <w:r w:rsidR="00374CA5">
        <w:rPr>
          <w:rFonts w:asciiTheme="majorBidi" w:hAnsiTheme="majorBidi"/>
          <w:color w:val="000000"/>
          <w:sz w:val="24"/>
        </w:rPr>
        <w:t>)</w:t>
      </w:r>
      <w:r w:rsidR="004932B4" w:rsidRPr="00A46182">
        <w:rPr>
          <w:rFonts w:asciiTheme="majorBidi" w:hAnsiTheme="majorBidi"/>
          <w:color w:val="000000"/>
          <w:sz w:val="24"/>
        </w:rPr>
        <w:t>.</w:t>
      </w:r>
    </w:p>
    <w:p w14:paraId="479AD7CA" w14:textId="127DC2BD" w:rsidR="00A8678A" w:rsidRPr="004C731D" w:rsidRDefault="00A8678A" w:rsidP="00DC6EDA">
      <w:pPr>
        <w:spacing w:after="0" w:line="240" w:lineRule="auto"/>
        <w:jc w:val="both"/>
        <w:rPr>
          <w:rFonts w:asciiTheme="majorBidi" w:hAnsiTheme="majorBidi"/>
          <w:color w:val="000000"/>
          <w:sz w:val="24"/>
        </w:rPr>
      </w:pPr>
    </w:p>
    <w:p w14:paraId="2C90C3AF" w14:textId="77777777" w:rsidR="00925006" w:rsidRDefault="00925006" w:rsidP="00DC6EDA">
      <w:pPr>
        <w:spacing w:after="0" w:line="240" w:lineRule="auto"/>
        <w:jc w:val="both"/>
        <w:rPr>
          <w:rFonts w:asciiTheme="majorBidi" w:hAnsiTheme="majorBidi"/>
          <w:b/>
          <w:sz w:val="24"/>
        </w:rPr>
      </w:pPr>
    </w:p>
    <w:p w14:paraId="61F00E51" w14:textId="5C334CAA" w:rsidR="00A8678A" w:rsidRPr="00666047" w:rsidRDefault="00A8678A" w:rsidP="00DC6EDA">
      <w:pPr>
        <w:spacing w:after="0" w:line="240" w:lineRule="auto"/>
        <w:jc w:val="both"/>
        <w:rPr>
          <w:rFonts w:asciiTheme="majorBidi" w:hAnsiTheme="majorBidi"/>
          <w:b/>
          <w:sz w:val="24"/>
        </w:rPr>
      </w:pPr>
      <w:r w:rsidRPr="00666047">
        <w:rPr>
          <w:rFonts w:asciiTheme="majorBidi" w:hAnsiTheme="majorBidi"/>
          <w:b/>
          <w:sz w:val="24"/>
        </w:rPr>
        <w:t xml:space="preserve">4.4 </w:t>
      </w:r>
      <w:r w:rsidR="00603EA7" w:rsidRPr="00666047">
        <w:rPr>
          <w:rFonts w:asciiTheme="majorBidi" w:hAnsiTheme="majorBidi"/>
          <w:b/>
          <w:sz w:val="24"/>
        </w:rPr>
        <w:t>P</w:t>
      </w:r>
      <w:r w:rsidRPr="00666047">
        <w:rPr>
          <w:rFonts w:asciiTheme="majorBidi" w:hAnsiTheme="majorBidi"/>
          <w:b/>
          <w:sz w:val="24"/>
        </w:rPr>
        <w:t>re-C</w:t>
      </w:r>
      <w:r w:rsidR="003F2375" w:rsidRPr="00666047">
        <w:rPr>
          <w:rFonts w:asciiTheme="majorBidi" w:hAnsiTheme="majorBidi"/>
          <w:b/>
          <w:sz w:val="24"/>
        </w:rPr>
        <w:t>OVID-</w:t>
      </w:r>
      <w:r w:rsidRPr="00666047">
        <w:rPr>
          <w:rFonts w:asciiTheme="majorBidi" w:hAnsiTheme="majorBidi"/>
          <w:b/>
          <w:sz w:val="24"/>
        </w:rPr>
        <w:t>19 trend</w:t>
      </w:r>
      <w:r w:rsidR="00603EA7" w:rsidRPr="00666047">
        <w:rPr>
          <w:rFonts w:asciiTheme="majorBidi" w:hAnsiTheme="majorBidi"/>
          <w:b/>
          <w:sz w:val="24"/>
        </w:rPr>
        <w:t>s</w:t>
      </w:r>
      <w:r w:rsidRPr="00666047">
        <w:rPr>
          <w:rFonts w:asciiTheme="majorBidi" w:hAnsiTheme="majorBidi"/>
          <w:b/>
          <w:sz w:val="24"/>
        </w:rPr>
        <w:t xml:space="preserve"> and the labor market recovery period: the case of formal employment</w:t>
      </w:r>
    </w:p>
    <w:p w14:paraId="59212A7A" w14:textId="77777777" w:rsidR="00ED55D7" w:rsidRPr="00BE052D" w:rsidRDefault="00ED55D7" w:rsidP="00DC6EDA">
      <w:pPr>
        <w:spacing w:after="0" w:line="240" w:lineRule="auto"/>
        <w:jc w:val="both"/>
        <w:rPr>
          <w:rFonts w:asciiTheme="majorBidi" w:hAnsiTheme="majorBidi"/>
          <w:sz w:val="24"/>
        </w:rPr>
      </w:pPr>
    </w:p>
    <w:p w14:paraId="15711CEA" w14:textId="1E8FE6B9" w:rsidR="00185C04" w:rsidRDefault="00A8678A" w:rsidP="00185C04">
      <w:pPr>
        <w:spacing w:after="0" w:line="240" w:lineRule="auto"/>
        <w:jc w:val="both"/>
        <w:rPr>
          <w:rFonts w:asciiTheme="majorBidi" w:hAnsiTheme="majorBidi"/>
          <w:sz w:val="24"/>
        </w:rPr>
      </w:pPr>
      <w:r w:rsidRPr="00BE052D">
        <w:rPr>
          <w:rFonts w:asciiTheme="majorBidi" w:hAnsiTheme="majorBidi"/>
          <w:sz w:val="24"/>
        </w:rPr>
        <w:t>Finally,</w:t>
      </w:r>
      <w:r w:rsidR="003741BF" w:rsidRPr="00BE052D">
        <w:rPr>
          <w:rFonts w:asciiTheme="majorBidi" w:hAnsiTheme="majorBidi"/>
          <w:sz w:val="24"/>
        </w:rPr>
        <w:t xml:space="preserve"> </w:t>
      </w:r>
      <w:r w:rsidR="003741BF">
        <w:rPr>
          <w:rFonts w:asciiTheme="majorBidi" w:hAnsiTheme="majorBidi" w:cstheme="majorBidi"/>
          <w:sz w:val="24"/>
          <w:szCs w:val="24"/>
        </w:rPr>
        <w:t>we performed</w:t>
      </w:r>
      <w:r>
        <w:rPr>
          <w:rFonts w:asciiTheme="majorBidi" w:hAnsiTheme="majorBidi" w:cstheme="majorBidi"/>
          <w:sz w:val="24"/>
          <w:szCs w:val="24"/>
        </w:rPr>
        <w:t xml:space="preserve"> </w:t>
      </w:r>
      <w:r w:rsidRPr="004C731D">
        <w:rPr>
          <w:rFonts w:asciiTheme="majorBidi" w:hAnsiTheme="majorBidi"/>
          <w:sz w:val="24"/>
        </w:rPr>
        <w:t xml:space="preserve">a projection exercise on the recovery period of the formal labor market </w:t>
      </w:r>
      <w:r w:rsidR="00317BF0">
        <w:rPr>
          <w:rFonts w:asciiTheme="majorBidi" w:hAnsiTheme="majorBidi"/>
          <w:sz w:val="24"/>
        </w:rPr>
        <w:t xml:space="preserve">by </w:t>
      </w:r>
      <w:r w:rsidRPr="004C731D">
        <w:rPr>
          <w:rFonts w:asciiTheme="majorBidi" w:hAnsiTheme="majorBidi"/>
          <w:sz w:val="24"/>
        </w:rPr>
        <w:t>focusing on the gap in permanent job losses</w:t>
      </w:r>
      <w:r w:rsidR="00A67E28">
        <w:rPr>
          <w:rFonts w:asciiTheme="majorBidi" w:hAnsiTheme="majorBidi"/>
          <w:sz w:val="24"/>
        </w:rPr>
        <w:t xml:space="preserve"> as estimated by our model, using the latest available point data (2020:Q4) instead of the projections according to the COVID-19 initial shock</w:t>
      </w:r>
      <w:r w:rsidR="00185C04">
        <w:rPr>
          <w:rFonts w:asciiTheme="majorBidi" w:hAnsiTheme="majorBidi"/>
          <w:sz w:val="24"/>
        </w:rPr>
        <w:t>.</w:t>
      </w:r>
    </w:p>
    <w:p w14:paraId="1CCCB832" w14:textId="74C312DA" w:rsidR="00925006" w:rsidRDefault="00925006" w:rsidP="00185C04">
      <w:pPr>
        <w:spacing w:after="0" w:line="240" w:lineRule="auto"/>
        <w:jc w:val="both"/>
        <w:rPr>
          <w:rFonts w:asciiTheme="majorBidi" w:hAnsiTheme="majorBidi"/>
          <w:sz w:val="24"/>
        </w:rPr>
      </w:pPr>
    </w:p>
    <w:p w14:paraId="7AB73A57" w14:textId="62461344" w:rsidR="00925006" w:rsidRDefault="00925006" w:rsidP="00185C04">
      <w:pPr>
        <w:spacing w:after="0" w:line="240" w:lineRule="auto"/>
        <w:jc w:val="both"/>
        <w:rPr>
          <w:rFonts w:asciiTheme="majorBidi" w:hAnsiTheme="majorBidi"/>
          <w:sz w:val="24"/>
        </w:rPr>
      </w:pPr>
    </w:p>
    <w:p w14:paraId="355DF4B1" w14:textId="7080EDBC" w:rsidR="00925006" w:rsidRDefault="00925006" w:rsidP="00185C04">
      <w:pPr>
        <w:spacing w:after="0" w:line="240" w:lineRule="auto"/>
        <w:jc w:val="both"/>
        <w:rPr>
          <w:rFonts w:asciiTheme="majorBidi" w:hAnsiTheme="majorBidi"/>
          <w:sz w:val="24"/>
        </w:rPr>
      </w:pPr>
    </w:p>
    <w:p w14:paraId="1D2D316C" w14:textId="69CDB3E7" w:rsidR="00925006" w:rsidRDefault="00925006" w:rsidP="00185C04">
      <w:pPr>
        <w:spacing w:after="0" w:line="240" w:lineRule="auto"/>
        <w:jc w:val="both"/>
        <w:rPr>
          <w:rFonts w:asciiTheme="majorBidi" w:hAnsiTheme="majorBidi"/>
          <w:sz w:val="24"/>
        </w:rPr>
      </w:pPr>
    </w:p>
    <w:p w14:paraId="137BA38D" w14:textId="77777777" w:rsidR="00925006" w:rsidRPr="0016142F" w:rsidRDefault="00925006" w:rsidP="00185C04">
      <w:pPr>
        <w:spacing w:after="0" w:line="240" w:lineRule="auto"/>
        <w:jc w:val="both"/>
        <w:rPr>
          <w:rFonts w:asciiTheme="majorBidi" w:hAnsiTheme="majorBidi"/>
          <w:sz w:val="24"/>
        </w:rPr>
      </w:pPr>
    </w:p>
    <w:tbl>
      <w:tblPr>
        <w:tblStyle w:val="Tablaconcuadrcula"/>
        <w:tblW w:w="9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tblGrid>
      <w:tr w:rsidR="00A44892" w14:paraId="458CD376" w14:textId="77777777" w:rsidTr="007861B2">
        <w:trPr>
          <w:trHeight w:val="233"/>
        </w:trPr>
        <w:tc>
          <w:tcPr>
            <w:tcW w:w="9001" w:type="dxa"/>
          </w:tcPr>
          <w:p w14:paraId="30C30B14" w14:textId="19948458" w:rsidR="00A44892" w:rsidRPr="00A67E28" w:rsidRDefault="00A44892" w:rsidP="00DC6EDA">
            <w:pPr>
              <w:jc w:val="both"/>
              <w:rPr>
                <w:rFonts w:asciiTheme="majorBidi" w:hAnsiTheme="majorBidi"/>
                <w:b/>
                <w:bCs/>
                <w:sz w:val="24"/>
              </w:rPr>
            </w:pPr>
            <w:r w:rsidRPr="00A67E28">
              <w:rPr>
                <w:rFonts w:asciiTheme="majorBidi" w:hAnsiTheme="majorBidi"/>
                <w:b/>
                <w:bCs/>
                <w:sz w:val="20"/>
                <w:szCs w:val="18"/>
              </w:rPr>
              <w:t xml:space="preserve">Figure 6. Men's formal employment recovery period: </w:t>
            </w:r>
            <w:r w:rsidR="00185C04" w:rsidRPr="00A67E28">
              <w:rPr>
                <w:rFonts w:asciiTheme="majorBidi" w:hAnsiTheme="majorBidi"/>
                <w:b/>
                <w:bCs/>
                <w:sz w:val="20"/>
                <w:szCs w:val="18"/>
              </w:rPr>
              <w:t>p</w:t>
            </w:r>
            <w:r w:rsidRPr="00A67E28">
              <w:rPr>
                <w:rFonts w:asciiTheme="majorBidi" w:hAnsiTheme="majorBidi"/>
                <w:b/>
                <w:bCs/>
                <w:sz w:val="20"/>
                <w:szCs w:val="18"/>
              </w:rPr>
              <w:t>re-</w:t>
            </w:r>
            <w:r w:rsidR="00185C04" w:rsidRPr="00A67E28">
              <w:rPr>
                <w:rFonts w:asciiTheme="majorBidi" w:hAnsiTheme="majorBidi"/>
                <w:b/>
                <w:bCs/>
                <w:sz w:val="20"/>
                <w:szCs w:val="18"/>
              </w:rPr>
              <w:t>COVID</w:t>
            </w:r>
            <w:r w:rsidRPr="00A67E28">
              <w:rPr>
                <w:rFonts w:asciiTheme="majorBidi" w:hAnsiTheme="majorBidi"/>
                <w:b/>
                <w:bCs/>
                <w:sz w:val="20"/>
                <w:szCs w:val="18"/>
              </w:rPr>
              <w:t xml:space="preserve"> employment level vs. </w:t>
            </w:r>
            <w:r w:rsidR="00185C04" w:rsidRPr="00A67E28">
              <w:rPr>
                <w:rFonts w:asciiTheme="majorBidi" w:hAnsiTheme="majorBidi"/>
                <w:b/>
                <w:bCs/>
                <w:sz w:val="20"/>
                <w:szCs w:val="18"/>
              </w:rPr>
              <w:t>p</w:t>
            </w:r>
            <w:r w:rsidRPr="00A67E28">
              <w:rPr>
                <w:rFonts w:asciiTheme="majorBidi" w:hAnsiTheme="majorBidi"/>
                <w:b/>
                <w:bCs/>
                <w:sz w:val="20"/>
                <w:szCs w:val="18"/>
              </w:rPr>
              <w:t>re-</w:t>
            </w:r>
            <w:r w:rsidR="00185C04" w:rsidRPr="00A67E28">
              <w:rPr>
                <w:rFonts w:asciiTheme="majorBidi" w:hAnsiTheme="majorBidi"/>
                <w:b/>
                <w:bCs/>
                <w:sz w:val="20"/>
                <w:szCs w:val="18"/>
              </w:rPr>
              <w:t>COVID</w:t>
            </w:r>
            <w:r w:rsidRPr="00A67E28">
              <w:rPr>
                <w:rFonts w:asciiTheme="majorBidi" w:hAnsiTheme="majorBidi"/>
                <w:b/>
                <w:bCs/>
                <w:sz w:val="20"/>
                <w:szCs w:val="18"/>
              </w:rPr>
              <w:t xml:space="preserve"> trend</w:t>
            </w:r>
          </w:p>
        </w:tc>
      </w:tr>
      <w:tr w:rsidR="00A44892" w14:paraId="7B0D83D9" w14:textId="77777777" w:rsidTr="00FA1AE7">
        <w:tblPrEx>
          <w:tblCellMar>
            <w:left w:w="70" w:type="dxa"/>
            <w:right w:w="70" w:type="dxa"/>
          </w:tblCellMar>
        </w:tblPrEx>
        <w:trPr>
          <w:trHeight w:val="227"/>
        </w:trPr>
        <w:tc>
          <w:tcPr>
            <w:tcW w:w="9001" w:type="dxa"/>
          </w:tcPr>
          <w:p w14:paraId="46991D80" w14:textId="0EB32464" w:rsidR="00A44892" w:rsidRDefault="00FA1AE7" w:rsidP="00DC6EDA">
            <w:pPr>
              <w:jc w:val="both"/>
              <w:rPr>
                <w:rFonts w:asciiTheme="majorBidi" w:hAnsiTheme="majorBidi"/>
                <w:sz w:val="24"/>
              </w:rPr>
            </w:pPr>
            <w:r>
              <w:rPr>
                <w:noProof/>
              </w:rPr>
              <w:drawing>
                <wp:anchor distT="0" distB="0" distL="114300" distR="114300" simplePos="0" relativeHeight="251684864" behindDoc="0" locked="0" layoutInCell="1" allowOverlap="1" wp14:anchorId="0987BA11" wp14:editId="721B24AE">
                  <wp:simplePos x="0" y="0"/>
                  <wp:positionH relativeFrom="column">
                    <wp:posOffset>635</wp:posOffset>
                  </wp:positionH>
                  <wp:positionV relativeFrom="paragraph">
                    <wp:posOffset>26670</wp:posOffset>
                  </wp:positionV>
                  <wp:extent cx="5512435" cy="2536825"/>
                  <wp:effectExtent l="0" t="0" r="0" b="0"/>
                  <wp:wrapSquare wrapText="bothSides"/>
                  <wp:docPr id="61" name="Gráfico 61">
                    <a:extLst xmlns:a="http://schemas.openxmlformats.org/drawingml/2006/main">
                      <a:ext uri="{FF2B5EF4-FFF2-40B4-BE49-F238E27FC236}">
                        <a16:creationId xmlns:a16="http://schemas.microsoft.com/office/drawing/2014/main" id="{5AC16E5C-CDCF-4121-BD6B-1FA4F633C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r w:rsidR="00A44892" w:rsidRPr="007861B2" w14:paraId="112F7104" w14:textId="77777777" w:rsidTr="007861B2">
        <w:trPr>
          <w:trHeight w:val="284"/>
        </w:trPr>
        <w:tc>
          <w:tcPr>
            <w:tcW w:w="9001" w:type="dxa"/>
          </w:tcPr>
          <w:p w14:paraId="755F2EE6" w14:textId="77777777" w:rsidR="00A44892" w:rsidRDefault="007861B2" w:rsidP="00DC6EDA">
            <w:pPr>
              <w:jc w:val="both"/>
              <w:rPr>
                <w:rFonts w:asciiTheme="majorBidi" w:hAnsiTheme="majorBidi"/>
                <w:i/>
                <w:iCs/>
                <w:sz w:val="20"/>
                <w:szCs w:val="18"/>
              </w:rPr>
            </w:pPr>
            <w:r w:rsidRPr="007861B2">
              <w:rPr>
                <w:rFonts w:asciiTheme="majorBidi" w:hAnsiTheme="majorBidi"/>
                <w:i/>
                <w:iCs/>
                <w:sz w:val="20"/>
                <w:szCs w:val="18"/>
              </w:rPr>
              <w:t>Source: Own estimations with time series constructed and homologized of employment surveys (ENEU-ENOE).</w:t>
            </w:r>
          </w:p>
          <w:p w14:paraId="50881F8E" w14:textId="1192FC09" w:rsidR="007861B2" w:rsidRPr="007861B2" w:rsidRDefault="007861B2" w:rsidP="00DC6EDA">
            <w:pPr>
              <w:jc w:val="both"/>
              <w:rPr>
                <w:rFonts w:asciiTheme="majorBidi" w:hAnsiTheme="majorBidi"/>
                <w:i/>
                <w:iCs/>
                <w:sz w:val="20"/>
                <w:szCs w:val="18"/>
              </w:rPr>
            </w:pPr>
            <w:r w:rsidRPr="007861B2">
              <w:rPr>
                <w:rFonts w:asciiTheme="majorBidi" w:hAnsiTheme="majorBidi"/>
                <w:i/>
                <w:iCs/>
                <w:sz w:val="20"/>
                <w:szCs w:val="18"/>
              </w:rPr>
              <w:t xml:space="preserve">Notes: trend estimation by VAR model. The level of actual employment at </w:t>
            </w:r>
            <w:r w:rsidR="00317BF0">
              <w:rPr>
                <w:rFonts w:asciiTheme="majorBidi" w:hAnsiTheme="majorBidi"/>
                <w:i/>
                <w:iCs/>
                <w:sz w:val="20"/>
                <w:szCs w:val="18"/>
              </w:rPr>
              <w:t xml:space="preserve">the </w:t>
            </w:r>
            <w:r w:rsidRPr="007861B2">
              <w:rPr>
                <w:rFonts w:asciiTheme="majorBidi" w:hAnsiTheme="majorBidi"/>
                <w:i/>
                <w:iCs/>
                <w:sz w:val="20"/>
                <w:szCs w:val="18"/>
              </w:rPr>
              <w:t>second 2020 quarterly was calculated with ETOE. The constant employment rate for 2020q4 was 3.8%.</w:t>
            </w:r>
          </w:p>
        </w:tc>
      </w:tr>
    </w:tbl>
    <w:p w14:paraId="07C1563A" w14:textId="77777777" w:rsidR="00185C04" w:rsidRDefault="00185C04" w:rsidP="00185C04">
      <w:pPr>
        <w:spacing w:after="0" w:line="240" w:lineRule="auto"/>
        <w:jc w:val="both"/>
        <w:rPr>
          <w:rFonts w:asciiTheme="majorBidi" w:hAnsiTheme="majorBidi"/>
          <w:sz w:val="24"/>
        </w:rPr>
      </w:pPr>
    </w:p>
    <w:p w14:paraId="76F10D77" w14:textId="127D2908" w:rsidR="00185C04" w:rsidRDefault="00185C04" w:rsidP="00185C04">
      <w:pPr>
        <w:spacing w:after="0" w:line="240" w:lineRule="auto"/>
        <w:jc w:val="both"/>
        <w:rPr>
          <w:rFonts w:asciiTheme="majorBidi" w:hAnsiTheme="majorBidi"/>
          <w:sz w:val="24"/>
        </w:rPr>
      </w:pPr>
      <w:r>
        <w:rPr>
          <w:rFonts w:asciiTheme="majorBidi" w:hAnsiTheme="majorBidi"/>
          <w:sz w:val="24"/>
        </w:rPr>
        <w:t>Figure</w:t>
      </w:r>
      <w:r w:rsidRPr="00666047">
        <w:rPr>
          <w:rFonts w:asciiTheme="majorBidi" w:hAnsiTheme="majorBidi"/>
          <w:sz w:val="24"/>
        </w:rPr>
        <w:t xml:space="preserve"> 6 shows an analysis of the formal labor market for men. The first point shows the pre-COVID-19 employment level</w:t>
      </w:r>
      <w:r>
        <w:rPr>
          <w:rFonts w:asciiTheme="majorBidi" w:hAnsiTheme="majorBidi" w:cstheme="majorBidi"/>
          <w:sz w:val="24"/>
          <w:szCs w:val="24"/>
        </w:rPr>
        <w:t>,</w:t>
      </w:r>
      <w:r w:rsidRPr="004C731D">
        <w:rPr>
          <w:rFonts w:asciiTheme="majorBidi" w:hAnsiTheme="majorBidi"/>
          <w:sz w:val="24"/>
        </w:rPr>
        <w:t xml:space="preserve"> which was 7,159,142 in the fourth quarter of 2019</w:t>
      </w:r>
      <w:r>
        <w:rPr>
          <w:rFonts w:asciiTheme="majorBidi" w:hAnsiTheme="majorBidi" w:cstheme="majorBidi"/>
          <w:sz w:val="24"/>
          <w:szCs w:val="24"/>
        </w:rPr>
        <w:t>. According</w:t>
      </w:r>
      <w:r w:rsidRPr="004C731D">
        <w:rPr>
          <w:rFonts w:asciiTheme="majorBidi" w:hAnsiTheme="majorBidi"/>
          <w:sz w:val="24"/>
        </w:rPr>
        <w:t xml:space="preserve"> </w:t>
      </w:r>
      <w:r w:rsidRPr="00666047">
        <w:rPr>
          <w:rFonts w:asciiTheme="majorBidi" w:hAnsiTheme="majorBidi"/>
          <w:sz w:val="24"/>
        </w:rPr>
        <w:t>to the projections of our VAR model, this employment level will recover in the middle of this year (7,217,580</w:t>
      </w:r>
      <w:r w:rsidRPr="00294B9C">
        <w:rPr>
          <w:rFonts w:asciiTheme="majorBidi" w:hAnsiTheme="majorBidi"/>
          <w:sz w:val="24"/>
        </w:rPr>
        <w:t>)</w:t>
      </w:r>
      <w:r>
        <w:rPr>
          <w:rFonts w:asciiTheme="majorBidi" w:hAnsiTheme="majorBidi"/>
          <w:sz w:val="24"/>
        </w:rPr>
        <w:t>. D</w:t>
      </w:r>
      <w:r w:rsidRPr="00294B9C">
        <w:rPr>
          <w:rFonts w:asciiTheme="majorBidi" w:hAnsiTheme="majorBidi"/>
          <w:sz w:val="24"/>
        </w:rPr>
        <w:t>espite</w:t>
      </w:r>
      <w:r w:rsidRPr="004C731D">
        <w:rPr>
          <w:rFonts w:asciiTheme="majorBidi" w:hAnsiTheme="majorBidi"/>
          <w:sz w:val="24"/>
        </w:rPr>
        <w:t xml:space="preserve"> this recovery, there </w:t>
      </w:r>
      <w:r>
        <w:rPr>
          <w:rFonts w:asciiTheme="majorBidi" w:hAnsiTheme="majorBidi" w:cstheme="majorBidi"/>
          <w:sz w:val="24"/>
          <w:szCs w:val="24"/>
        </w:rPr>
        <w:t>has been</w:t>
      </w:r>
      <w:r w:rsidRPr="004C731D">
        <w:rPr>
          <w:rFonts w:asciiTheme="majorBidi" w:hAnsiTheme="majorBidi"/>
          <w:sz w:val="24"/>
        </w:rPr>
        <w:t xml:space="preserve"> </w:t>
      </w:r>
      <w:r w:rsidRPr="0016142F">
        <w:rPr>
          <w:rFonts w:asciiTheme="majorBidi" w:hAnsiTheme="majorBidi"/>
          <w:sz w:val="24"/>
        </w:rPr>
        <w:t xml:space="preserve">a gap </w:t>
      </w:r>
      <w:r>
        <w:rPr>
          <w:rFonts w:asciiTheme="majorBidi" w:hAnsiTheme="majorBidi" w:cstheme="majorBidi"/>
          <w:sz w:val="24"/>
          <w:szCs w:val="24"/>
        </w:rPr>
        <w:t>in the</w:t>
      </w:r>
      <w:r w:rsidRPr="004C731D">
        <w:rPr>
          <w:rFonts w:asciiTheme="majorBidi" w:hAnsiTheme="majorBidi"/>
          <w:sz w:val="24"/>
        </w:rPr>
        <w:t xml:space="preserve"> </w:t>
      </w:r>
      <w:r w:rsidRPr="0016142F">
        <w:rPr>
          <w:rFonts w:asciiTheme="majorBidi" w:hAnsiTheme="majorBidi"/>
          <w:sz w:val="24"/>
        </w:rPr>
        <w:t xml:space="preserve">permanent employment loss </w:t>
      </w:r>
      <w:r>
        <w:rPr>
          <w:rFonts w:asciiTheme="majorBidi" w:hAnsiTheme="majorBidi" w:cstheme="majorBidi"/>
          <w:sz w:val="24"/>
          <w:szCs w:val="24"/>
        </w:rPr>
        <w:t>because,</w:t>
      </w:r>
      <w:r w:rsidRPr="004C731D">
        <w:rPr>
          <w:rFonts w:asciiTheme="majorBidi" w:hAnsiTheme="majorBidi"/>
          <w:sz w:val="24"/>
        </w:rPr>
        <w:t xml:space="preserve"> </w:t>
      </w:r>
      <w:r w:rsidRPr="0016142F">
        <w:rPr>
          <w:rFonts w:asciiTheme="majorBidi" w:hAnsiTheme="majorBidi"/>
          <w:sz w:val="24"/>
        </w:rPr>
        <w:t>in that same period (2021:Q2</w:t>
      </w:r>
      <w:r>
        <w:rPr>
          <w:rFonts w:asciiTheme="majorBidi" w:hAnsiTheme="majorBidi" w:cstheme="majorBidi"/>
          <w:sz w:val="24"/>
          <w:szCs w:val="24"/>
        </w:rPr>
        <w:t>),</w:t>
      </w:r>
      <w:r w:rsidRPr="004C731D">
        <w:rPr>
          <w:rFonts w:asciiTheme="majorBidi" w:hAnsiTheme="majorBidi"/>
          <w:sz w:val="24"/>
        </w:rPr>
        <w:t xml:space="preserve"> the pre-</w:t>
      </w:r>
      <w:r w:rsidRPr="0016142F">
        <w:rPr>
          <w:rFonts w:asciiTheme="majorBidi" w:hAnsiTheme="majorBidi"/>
          <w:sz w:val="24"/>
        </w:rPr>
        <w:t xml:space="preserve">COVID-19 growth trend indicated </w:t>
      </w:r>
      <w:r w:rsidRPr="004C731D">
        <w:rPr>
          <w:rFonts w:asciiTheme="majorBidi" w:hAnsiTheme="majorBidi"/>
          <w:sz w:val="24"/>
        </w:rPr>
        <w:t xml:space="preserve">there would be a level of 7,397,595 </w:t>
      </w:r>
      <w:r>
        <w:rPr>
          <w:rFonts w:asciiTheme="majorBidi" w:hAnsiTheme="majorBidi" w:cstheme="majorBidi"/>
          <w:sz w:val="24"/>
          <w:szCs w:val="24"/>
        </w:rPr>
        <w:t>employed</w:t>
      </w:r>
      <w:r w:rsidRPr="003741BF">
        <w:rPr>
          <w:rFonts w:asciiTheme="majorBidi" w:hAnsiTheme="majorBidi" w:cstheme="majorBidi"/>
          <w:sz w:val="24"/>
          <w:szCs w:val="24"/>
        </w:rPr>
        <w:t xml:space="preserve"> </w:t>
      </w:r>
      <w:r>
        <w:rPr>
          <w:rFonts w:asciiTheme="majorBidi" w:hAnsiTheme="majorBidi" w:cstheme="majorBidi"/>
          <w:sz w:val="24"/>
          <w:szCs w:val="24"/>
        </w:rPr>
        <w:t>in our country</w:t>
      </w:r>
      <w:r w:rsidRPr="004C731D">
        <w:rPr>
          <w:rFonts w:asciiTheme="majorBidi" w:hAnsiTheme="majorBidi"/>
          <w:sz w:val="24"/>
        </w:rPr>
        <w:t xml:space="preserve">. The </w:t>
      </w:r>
      <w:r w:rsidRPr="0016142F">
        <w:rPr>
          <w:rFonts w:asciiTheme="majorBidi" w:hAnsiTheme="majorBidi"/>
          <w:sz w:val="24"/>
        </w:rPr>
        <w:t>difference between the pre-</w:t>
      </w:r>
      <w:r w:rsidRPr="00666047">
        <w:rPr>
          <w:rFonts w:asciiTheme="majorBidi" w:hAnsiTheme="majorBidi"/>
          <w:sz w:val="24"/>
        </w:rPr>
        <w:t>COVID-19 trends and the level of employment in 2021:Q2 is -2.5%. On the other hand, a growth trend at a constant rate (3.8%) was projected based on the last observation of current employment, which leads to the same conclusion as</w:t>
      </w:r>
      <w:r w:rsidRPr="00BE052D">
        <w:rPr>
          <w:rFonts w:asciiTheme="majorBidi" w:hAnsiTheme="majorBidi"/>
          <w:sz w:val="24"/>
        </w:rPr>
        <w:t xml:space="preserve"> the VAR model, </w:t>
      </w:r>
      <w:r>
        <w:rPr>
          <w:rFonts w:asciiTheme="majorBidi" w:hAnsiTheme="majorBidi" w:cstheme="majorBidi"/>
          <w:sz w:val="24"/>
          <w:szCs w:val="24"/>
        </w:rPr>
        <w:t xml:space="preserve">and </w:t>
      </w:r>
      <w:r w:rsidRPr="004C731D">
        <w:rPr>
          <w:rFonts w:asciiTheme="majorBidi" w:hAnsiTheme="majorBidi"/>
          <w:sz w:val="24"/>
        </w:rPr>
        <w:t>the recovery of the pre-</w:t>
      </w:r>
      <w:r w:rsidRPr="0016142F">
        <w:rPr>
          <w:rFonts w:asciiTheme="majorBidi" w:hAnsiTheme="majorBidi"/>
          <w:sz w:val="24"/>
        </w:rPr>
        <w:t xml:space="preserve">COVID-19 employment level is observed from 2021:Q2 if this growth rate prevails, but the gap of permanent employment loss would be less than 1%. </w:t>
      </w:r>
    </w:p>
    <w:p w14:paraId="692CCE3E" w14:textId="77777777" w:rsidR="00185C04" w:rsidRDefault="00185C04" w:rsidP="003D5EE0">
      <w:pPr>
        <w:spacing w:after="0" w:line="240" w:lineRule="auto"/>
        <w:jc w:val="both"/>
        <w:rPr>
          <w:rFonts w:asciiTheme="majorBidi" w:hAnsiTheme="majorBidi"/>
          <w:sz w:val="24"/>
        </w:rPr>
      </w:pPr>
    </w:p>
    <w:p w14:paraId="24D0D4BC" w14:textId="37EC7A99" w:rsidR="00A8678A" w:rsidRDefault="00A8678A" w:rsidP="003D5EE0">
      <w:pPr>
        <w:spacing w:after="0" w:line="240" w:lineRule="auto"/>
        <w:jc w:val="both"/>
        <w:rPr>
          <w:rFonts w:asciiTheme="majorBidi" w:hAnsiTheme="majorBidi"/>
          <w:sz w:val="24"/>
        </w:rPr>
      </w:pPr>
      <w:r w:rsidRPr="00666047">
        <w:rPr>
          <w:rFonts w:asciiTheme="majorBidi" w:hAnsiTheme="majorBidi"/>
          <w:sz w:val="24"/>
        </w:rPr>
        <w:t>On the other hand, the analysis of the female labor market (</w:t>
      </w:r>
      <w:r w:rsidR="005D485C">
        <w:rPr>
          <w:rFonts w:asciiTheme="majorBidi" w:hAnsiTheme="majorBidi"/>
          <w:sz w:val="24"/>
        </w:rPr>
        <w:t xml:space="preserve">Figure </w:t>
      </w:r>
      <w:r w:rsidRPr="00666047">
        <w:rPr>
          <w:rFonts w:asciiTheme="majorBidi" w:hAnsiTheme="majorBidi"/>
          <w:sz w:val="24"/>
        </w:rPr>
        <w:t>7) shows a different picture. The pre-</w:t>
      </w:r>
      <w:r w:rsidR="00F62DD8" w:rsidRPr="00BE052D">
        <w:rPr>
          <w:rFonts w:asciiTheme="majorBidi" w:hAnsiTheme="majorBidi"/>
          <w:sz w:val="24"/>
        </w:rPr>
        <w:t>COVID-</w:t>
      </w:r>
      <w:r w:rsidRPr="00BE052D">
        <w:rPr>
          <w:rFonts w:asciiTheme="majorBidi" w:hAnsiTheme="majorBidi"/>
          <w:sz w:val="24"/>
        </w:rPr>
        <w:t>19 employment level was 4,936,569 for 2019</w:t>
      </w:r>
      <w:r w:rsidR="0060243D" w:rsidRPr="00BE052D">
        <w:rPr>
          <w:rFonts w:asciiTheme="majorBidi" w:hAnsiTheme="majorBidi"/>
          <w:sz w:val="24"/>
        </w:rPr>
        <w:t>:Q4</w:t>
      </w:r>
      <w:r w:rsidRPr="00AA1CA4">
        <w:rPr>
          <w:rFonts w:asciiTheme="majorBidi" w:hAnsiTheme="majorBidi"/>
          <w:sz w:val="24"/>
        </w:rPr>
        <w:t xml:space="preserve">, so the econometric model projects a faster recovery compared to that of men since the employment recovery should be observed by the end of the first quarter of 2021. If the level of employment projected by the VAR model (4,992,563) </w:t>
      </w:r>
      <w:r w:rsidR="003D5EE0">
        <w:rPr>
          <w:rFonts w:asciiTheme="majorBidi" w:hAnsiTheme="majorBidi" w:cstheme="majorBidi"/>
          <w:sz w:val="24"/>
          <w:szCs w:val="24"/>
        </w:rPr>
        <w:t>has been</w:t>
      </w:r>
      <w:r w:rsidR="003D5EE0" w:rsidRPr="004C731D">
        <w:rPr>
          <w:rFonts w:asciiTheme="majorBidi" w:hAnsiTheme="majorBidi"/>
          <w:sz w:val="24"/>
        </w:rPr>
        <w:t xml:space="preserve"> </w:t>
      </w:r>
      <w:r w:rsidRPr="0016142F">
        <w:rPr>
          <w:rFonts w:asciiTheme="majorBidi" w:hAnsiTheme="majorBidi"/>
          <w:sz w:val="24"/>
        </w:rPr>
        <w:t>reached, there would be a permanent employment loss of around -2.2%, but if the constant growth trend rate (8.5%) is applied from the last observation of current</w:t>
      </w:r>
      <w:r w:rsidRPr="00666047">
        <w:rPr>
          <w:rFonts w:asciiTheme="majorBidi" w:hAnsiTheme="majorBidi"/>
          <w:sz w:val="24"/>
        </w:rPr>
        <w:t xml:space="preserve"> employment, the gap of permanent employment losses would be reversed</w:t>
      </w:r>
      <w:r w:rsidR="00656DF5">
        <w:rPr>
          <w:rFonts w:asciiTheme="majorBidi" w:hAnsiTheme="majorBidi" w:cstheme="majorBidi"/>
          <w:sz w:val="24"/>
          <w:szCs w:val="24"/>
        </w:rPr>
        <w:t>,</w:t>
      </w:r>
      <w:r w:rsidRPr="004C731D">
        <w:rPr>
          <w:rFonts w:asciiTheme="majorBidi" w:hAnsiTheme="majorBidi"/>
          <w:sz w:val="24"/>
        </w:rPr>
        <w:t xml:space="preserve"> and there would be a</w:t>
      </w:r>
      <w:r w:rsidR="007D630B" w:rsidRPr="004C731D">
        <w:rPr>
          <w:rFonts w:asciiTheme="majorBidi" w:hAnsiTheme="majorBidi"/>
          <w:sz w:val="24"/>
        </w:rPr>
        <w:t xml:space="preserve">n increase </w:t>
      </w:r>
      <w:r w:rsidRPr="004C731D">
        <w:rPr>
          <w:rFonts w:asciiTheme="majorBidi" w:hAnsiTheme="majorBidi"/>
          <w:sz w:val="24"/>
        </w:rPr>
        <w:t xml:space="preserve">in </w:t>
      </w:r>
      <w:r>
        <w:rPr>
          <w:rFonts w:asciiTheme="majorBidi" w:hAnsiTheme="majorBidi" w:cstheme="majorBidi"/>
          <w:sz w:val="24"/>
          <w:szCs w:val="24"/>
        </w:rPr>
        <w:t>women</w:t>
      </w:r>
      <w:r w:rsidR="00317BF0">
        <w:rPr>
          <w:rFonts w:asciiTheme="majorBidi" w:hAnsiTheme="majorBidi" w:cstheme="majorBidi"/>
          <w:sz w:val="24"/>
          <w:szCs w:val="24"/>
        </w:rPr>
        <w:t>'</w:t>
      </w:r>
      <w:r>
        <w:rPr>
          <w:rFonts w:asciiTheme="majorBidi" w:hAnsiTheme="majorBidi" w:cstheme="majorBidi"/>
          <w:sz w:val="24"/>
          <w:szCs w:val="24"/>
        </w:rPr>
        <w:t>s</w:t>
      </w:r>
      <w:r w:rsidRPr="004C731D">
        <w:rPr>
          <w:rFonts w:asciiTheme="majorBidi" w:hAnsiTheme="majorBidi"/>
          <w:sz w:val="24"/>
        </w:rPr>
        <w:t xml:space="preserve"> formal employment of 3%.</w:t>
      </w:r>
    </w:p>
    <w:p w14:paraId="3B7C4D9F" w14:textId="451626FC" w:rsidR="007861B2" w:rsidRDefault="007861B2" w:rsidP="003D5EE0">
      <w:pPr>
        <w:spacing w:after="0" w:line="240" w:lineRule="auto"/>
        <w:jc w:val="both"/>
        <w:rPr>
          <w:rFonts w:asciiTheme="majorBidi" w:hAnsiTheme="majorBidi"/>
          <w:sz w:val="24"/>
        </w:rPr>
      </w:pPr>
    </w:p>
    <w:p w14:paraId="7DE26756" w14:textId="23FEC1A9" w:rsidR="00185C04" w:rsidRDefault="00185C04" w:rsidP="003D5EE0">
      <w:pPr>
        <w:spacing w:after="0" w:line="240" w:lineRule="auto"/>
        <w:jc w:val="both"/>
        <w:rPr>
          <w:rFonts w:asciiTheme="majorBidi" w:hAnsiTheme="majorBidi"/>
          <w:sz w:val="24"/>
        </w:rPr>
      </w:pPr>
    </w:p>
    <w:p w14:paraId="7F584177" w14:textId="77D46099" w:rsidR="00185C04" w:rsidRDefault="00185C04" w:rsidP="003D5EE0">
      <w:pPr>
        <w:spacing w:after="0" w:line="240" w:lineRule="auto"/>
        <w:jc w:val="both"/>
        <w:rPr>
          <w:rFonts w:asciiTheme="majorBidi" w:hAnsiTheme="majorBidi"/>
          <w:sz w:val="24"/>
        </w:rPr>
      </w:pPr>
    </w:p>
    <w:tbl>
      <w:tblPr>
        <w:tblStyle w:val="Tablaconcuadrcul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6"/>
      </w:tblGrid>
      <w:tr w:rsidR="00185C04" w14:paraId="354BEE39" w14:textId="77777777" w:rsidTr="008401AD">
        <w:trPr>
          <w:trHeight w:val="285"/>
        </w:trPr>
        <w:tc>
          <w:tcPr>
            <w:tcW w:w="9076" w:type="dxa"/>
          </w:tcPr>
          <w:p w14:paraId="02A5FF9D" w14:textId="31830DF6" w:rsidR="00185C04" w:rsidRPr="00A67E28" w:rsidRDefault="00185C04" w:rsidP="00185C04">
            <w:pPr>
              <w:jc w:val="both"/>
              <w:rPr>
                <w:rFonts w:asciiTheme="majorBidi" w:hAnsiTheme="majorBidi"/>
                <w:b/>
                <w:bCs/>
                <w:sz w:val="24"/>
              </w:rPr>
            </w:pPr>
            <w:r w:rsidRPr="00A67E28">
              <w:rPr>
                <w:rFonts w:asciiTheme="majorBidi" w:hAnsiTheme="majorBidi"/>
                <w:b/>
                <w:bCs/>
                <w:sz w:val="20"/>
                <w:szCs w:val="18"/>
              </w:rPr>
              <w:lastRenderedPageBreak/>
              <w:t xml:space="preserve">Figure 7. Women's formal employment recovery period: </w:t>
            </w:r>
            <w:r w:rsidR="00925006" w:rsidRPr="00A67E28">
              <w:rPr>
                <w:rFonts w:asciiTheme="majorBidi" w:hAnsiTheme="majorBidi"/>
                <w:b/>
                <w:bCs/>
                <w:sz w:val="20"/>
                <w:szCs w:val="18"/>
              </w:rPr>
              <w:t>p</w:t>
            </w:r>
            <w:r w:rsidRPr="00A67E28">
              <w:rPr>
                <w:rFonts w:asciiTheme="majorBidi" w:hAnsiTheme="majorBidi"/>
                <w:b/>
                <w:bCs/>
                <w:sz w:val="20"/>
                <w:szCs w:val="18"/>
              </w:rPr>
              <w:t>re-</w:t>
            </w:r>
            <w:r w:rsidR="00925006" w:rsidRPr="00A67E28">
              <w:rPr>
                <w:rFonts w:asciiTheme="majorBidi" w:hAnsiTheme="majorBidi"/>
                <w:b/>
                <w:bCs/>
                <w:sz w:val="20"/>
                <w:szCs w:val="18"/>
              </w:rPr>
              <w:t>COVID</w:t>
            </w:r>
            <w:r w:rsidRPr="00A67E28">
              <w:rPr>
                <w:rFonts w:asciiTheme="majorBidi" w:hAnsiTheme="majorBidi"/>
                <w:b/>
                <w:bCs/>
                <w:sz w:val="20"/>
                <w:szCs w:val="18"/>
              </w:rPr>
              <w:t xml:space="preserve"> employment level vs. </w:t>
            </w:r>
            <w:r w:rsidR="00925006" w:rsidRPr="00A67E28">
              <w:rPr>
                <w:rFonts w:asciiTheme="majorBidi" w:hAnsiTheme="majorBidi"/>
                <w:b/>
                <w:bCs/>
                <w:sz w:val="20"/>
                <w:szCs w:val="18"/>
              </w:rPr>
              <w:t>p</w:t>
            </w:r>
            <w:r w:rsidRPr="00A67E28">
              <w:rPr>
                <w:rFonts w:asciiTheme="majorBidi" w:hAnsiTheme="majorBidi"/>
                <w:b/>
                <w:bCs/>
                <w:sz w:val="20"/>
                <w:szCs w:val="18"/>
              </w:rPr>
              <w:t>re-</w:t>
            </w:r>
            <w:r w:rsidR="00925006" w:rsidRPr="00A67E28">
              <w:rPr>
                <w:rFonts w:asciiTheme="majorBidi" w:hAnsiTheme="majorBidi"/>
                <w:b/>
                <w:bCs/>
                <w:sz w:val="20"/>
                <w:szCs w:val="18"/>
              </w:rPr>
              <w:t>COVID</w:t>
            </w:r>
            <w:r w:rsidRPr="00A67E28">
              <w:rPr>
                <w:rFonts w:asciiTheme="majorBidi" w:hAnsiTheme="majorBidi"/>
                <w:b/>
                <w:bCs/>
                <w:sz w:val="20"/>
                <w:szCs w:val="18"/>
              </w:rPr>
              <w:t xml:space="preserve"> trend</w:t>
            </w:r>
          </w:p>
        </w:tc>
      </w:tr>
      <w:tr w:rsidR="00185C04" w14:paraId="76D195AE" w14:textId="77777777" w:rsidTr="00185C04">
        <w:trPr>
          <w:trHeight w:val="285"/>
        </w:trPr>
        <w:tc>
          <w:tcPr>
            <w:tcW w:w="9076" w:type="dxa"/>
          </w:tcPr>
          <w:p w14:paraId="243A9778" w14:textId="6D9A057B" w:rsidR="00185C04" w:rsidRPr="007861B2" w:rsidRDefault="00185C04" w:rsidP="00185C04">
            <w:pPr>
              <w:jc w:val="both"/>
              <w:rPr>
                <w:rFonts w:asciiTheme="majorBidi" w:hAnsiTheme="majorBidi"/>
                <w:sz w:val="20"/>
                <w:szCs w:val="18"/>
              </w:rPr>
            </w:pPr>
            <w:r>
              <w:rPr>
                <w:noProof/>
              </w:rPr>
              <w:drawing>
                <wp:anchor distT="0" distB="0" distL="114300" distR="114300" simplePos="0" relativeHeight="251685888" behindDoc="0" locked="0" layoutInCell="1" allowOverlap="1" wp14:anchorId="62E00EFD" wp14:editId="165B1A3B">
                  <wp:simplePos x="0" y="0"/>
                  <wp:positionH relativeFrom="column">
                    <wp:posOffset>169843</wp:posOffset>
                  </wp:positionH>
                  <wp:positionV relativeFrom="paragraph">
                    <wp:posOffset>71120</wp:posOffset>
                  </wp:positionV>
                  <wp:extent cx="5264150" cy="2626360"/>
                  <wp:effectExtent l="0" t="0" r="0" b="2540"/>
                  <wp:wrapSquare wrapText="bothSides"/>
                  <wp:docPr id="62" name="Gráfico 62">
                    <a:extLst xmlns:a="http://schemas.openxmlformats.org/drawingml/2006/main">
                      <a:ext uri="{FF2B5EF4-FFF2-40B4-BE49-F238E27FC236}">
                        <a16:creationId xmlns:a16="http://schemas.microsoft.com/office/drawing/2014/main" id="{98821D13-883C-4E1F-8A84-F81E63D43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r>
      <w:tr w:rsidR="00185C04" w14:paraId="1402845A" w14:textId="77777777" w:rsidTr="008401AD">
        <w:tblPrEx>
          <w:tblCellMar>
            <w:left w:w="108" w:type="dxa"/>
            <w:right w:w="108" w:type="dxa"/>
          </w:tblCellMar>
        </w:tblPrEx>
        <w:trPr>
          <w:trHeight w:val="948"/>
        </w:trPr>
        <w:tc>
          <w:tcPr>
            <w:tcW w:w="9076" w:type="dxa"/>
          </w:tcPr>
          <w:p w14:paraId="419BBCEA" w14:textId="77777777" w:rsidR="00185C04" w:rsidRDefault="00185C04" w:rsidP="00185C04">
            <w:pPr>
              <w:jc w:val="both"/>
              <w:rPr>
                <w:rFonts w:asciiTheme="majorBidi" w:hAnsiTheme="majorBidi"/>
                <w:i/>
                <w:iCs/>
                <w:sz w:val="20"/>
                <w:szCs w:val="18"/>
              </w:rPr>
            </w:pPr>
            <w:r w:rsidRPr="00CD51CF">
              <w:rPr>
                <w:rFonts w:asciiTheme="majorBidi" w:hAnsiTheme="majorBidi"/>
                <w:i/>
                <w:iCs/>
                <w:sz w:val="20"/>
                <w:szCs w:val="18"/>
              </w:rPr>
              <w:t>Source: Own estimations with time series constructed and homologized of employment surveys (ENEU-ENOE).</w:t>
            </w:r>
          </w:p>
          <w:p w14:paraId="3CFEBF6D" w14:textId="4EDB9AEB" w:rsidR="00185C04" w:rsidRPr="00CD51CF" w:rsidRDefault="00185C04" w:rsidP="00185C04">
            <w:pPr>
              <w:jc w:val="both"/>
              <w:rPr>
                <w:rFonts w:asciiTheme="majorBidi" w:hAnsiTheme="majorBidi"/>
                <w:i/>
                <w:iCs/>
                <w:sz w:val="24"/>
              </w:rPr>
            </w:pPr>
            <w:r w:rsidRPr="00CD51CF">
              <w:rPr>
                <w:rFonts w:asciiTheme="majorBidi" w:hAnsiTheme="majorBidi"/>
                <w:i/>
                <w:iCs/>
                <w:sz w:val="20"/>
                <w:szCs w:val="18"/>
              </w:rPr>
              <w:t xml:space="preserve">Notes: trend estimation by VAR model. The level of actual employment at </w:t>
            </w:r>
            <w:r w:rsidR="00317BF0">
              <w:rPr>
                <w:rFonts w:asciiTheme="majorBidi" w:hAnsiTheme="majorBidi"/>
                <w:i/>
                <w:iCs/>
                <w:sz w:val="20"/>
                <w:szCs w:val="18"/>
              </w:rPr>
              <w:t xml:space="preserve">the </w:t>
            </w:r>
            <w:r w:rsidRPr="00CD51CF">
              <w:rPr>
                <w:rFonts w:asciiTheme="majorBidi" w:hAnsiTheme="majorBidi"/>
                <w:i/>
                <w:iCs/>
                <w:sz w:val="20"/>
                <w:szCs w:val="18"/>
              </w:rPr>
              <w:t>second 2020 quarterly was calculated with ETOE. The constant employment rate for 2020q4 was 8.5%.</w:t>
            </w:r>
          </w:p>
        </w:tc>
      </w:tr>
    </w:tbl>
    <w:p w14:paraId="31D6CDBC" w14:textId="585B1FC2" w:rsidR="004932B4" w:rsidRPr="00BE052D" w:rsidRDefault="004932B4" w:rsidP="00DC6EDA">
      <w:pPr>
        <w:pStyle w:val="NormalWeb"/>
        <w:spacing w:after="0" w:afterAutospacing="0"/>
        <w:rPr>
          <w:b/>
          <w:color w:val="000000"/>
        </w:rPr>
      </w:pPr>
      <w:r w:rsidRPr="00BE052D">
        <w:rPr>
          <w:b/>
          <w:color w:val="000000"/>
        </w:rPr>
        <w:t>5. Conclusions</w:t>
      </w:r>
    </w:p>
    <w:p w14:paraId="2CF1A7FD" w14:textId="59D3054F" w:rsidR="004D4C32" w:rsidRPr="004C731D" w:rsidRDefault="002C62AE" w:rsidP="0016142F">
      <w:pPr>
        <w:pStyle w:val="NormalWeb"/>
        <w:spacing w:after="0" w:afterAutospacing="0"/>
        <w:jc w:val="both"/>
        <w:rPr>
          <w:color w:val="000000"/>
        </w:rPr>
      </w:pPr>
      <w:r w:rsidRPr="00AA1CA4">
        <w:rPr>
          <w:color w:val="000000"/>
        </w:rPr>
        <w:t>In this paper, we characterize</w:t>
      </w:r>
      <w:r w:rsidR="0016142F">
        <w:rPr>
          <w:color w:val="000000"/>
        </w:rPr>
        <w:t>d</w:t>
      </w:r>
      <w:r w:rsidRPr="0016142F">
        <w:rPr>
          <w:color w:val="000000"/>
        </w:rPr>
        <w:t xml:space="preserve"> the deepening and persistence of employment losses by gender</w:t>
      </w:r>
      <w:r w:rsidR="003A44E4">
        <w:rPr>
          <w:color w:val="000000"/>
        </w:rPr>
        <w:t>,</w:t>
      </w:r>
      <w:r w:rsidRPr="002C62AE">
        <w:rPr>
          <w:color w:val="000000"/>
        </w:rPr>
        <w:t xml:space="preserve"> </w:t>
      </w:r>
      <w:r w:rsidR="003A44E4">
        <w:rPr>
          <w:color w:val="000000"/>
        </w:rPr>
        <w:t>as well as</w:t>
      </w:r>
      <w:r w:rsidR="003A44E4" w:rsidRPr="002C62AE">
        <w:rPr>
          <w:color w:val="000000"/>
        </w:rPr>
        <w:t xml:space="preserve"> </w:t>
      </w:r>
      <w:r w:rsidRPr="002C62AE">
        <w:rPr>
          <w:color w:val="000000"/>
        </w:rPr>
        <w:t>identif</w:t>
      </w:r>
      <w:r w:rsidR="008E7169">
        <w:rPr>
          <w:color w:val="000000"/>
        </w:rPr>
        <w:t>ied</w:t>
      </w:r>
      <w:r w:rsidRPr="004C731D">
        <w:rPr>
          <w:color w:val="000000"/>
        </w:rPr>
        <w:t xml:space="preserve"> both formal and informal sectors. </w:t>
      </w:r>
      <w:r w:rsidR="00E632BB">
        <w:rPr>
          <w:color w:val="000000"/>
        </w:rPr>
        <w:t>U</w:t>
      </w:r>
      <w:r w:rsidR="00E632BB" w:rsidRPr="00A46182">
        <w:rPr>
          <w:color w:val="000000"/>
        </w:rPr>
        <w:t xml:space="preserve">sing quarterly data from 1987 to 2021 and following the same urban areas for all </w:t>
      </w:r>
      <w:r w:rsidR="00E632BB">
        <w:rPr>
          <w:color w:val="000000"/>
        </w:rPr>
        <w:t xml:space="preserve">of </w:t>
      </w:r>
      <w:r w:rsidR="00E632BB" w:rsidRPr="00A46182">
        <w:rPr>
          <w:color w:val="000000"/>
        </w:rPr>
        <w:t>this period</w:t>
      </w:r>
      <w:r w:rsidR="00E632BB">
        <w:rPr>
          <w:color w:val="000000"/>
        </w:rPr>
        <w:t>,</w:t>
      </w:r>
      <w:r w:rsidR="00E632BB" w:rsidRPr="00A46182">
        <w:rPr>
          <w:color w:val="000000"/>
        </w:rPr>
        <w:t xml:space="preserve"> </w:t>
      </w:r>
      <w:r w:rsidR="00E632BB">
        <w:rPr>
          <w:color w:val="000000"/>
        </w:rPr>
        <w:t>w</w:t>
      </w:r>
      <w:r w:rsidR="00E632BB" w:rsidRPr="00A46182">
        <w:rPr>
          <w:color w:val="000000"/>
        </w:rPr>
        <w:t>e</w:t>
      </w:r>
      <w:r w:rsidR="00E632BB" w:rsidRPr="004C731D">
        <w:rPr>
          <w:color w:val="000000"/>
        </w:rPr>
        <w:t xml:space="preserve"> </w:t>
      </w:r>
      <w:r w:rsidR="0016142F" w:rsidRPr="004C731D">
        <w:rPr>
          <w:color w:val="000000"/>
        </w:rPr>
        <w:t>buil</w:t>
      </w:r>
      <w:r w:rsidR="0016142F">
        <w:rPr>
          <w:color w:val="000000"/>
        </w:rPr>
        <w:t xml:space="preserve">t </w:t>
      </w:r>
      <w:r w:rsidRPr="004C731D">
        <w:rPr>
          <w:color w:val="000000"/>
        </w:rPr>
        <w:t xml:space="preserve">a consistent micro-founded time-series </w:t>
      </w:r>
      <w:r w:rsidRPr="0016142F">
        <w:rPr>
          <w:color w:val="000000"/>
        </w:rPr>
        <w:t xml:space="preserve">framework for the </w:t>
      </w:r>
      <w:r w:rsidR="002A0588">
        <w:rPr>
          <w:color w:val="000000"/>
        </w:rPr>
        <w:t>primary</w:t>
      </w:r>
      <w:r w:rsidRPr="0016142F">
        <w:rPr>
          <w:color w:val="000000"/>
        </w:rPr>
        <w:t xml:space="preserve"> employment variables by consistently defining and measuring all </w:t>
      </w:r>
      <w:r w:rsidR="003A44E4">
        <w:rPr>
          <w:color w:val="000000"/>
        </w:rPr>
        <w:t xml:space="preserve">of </w:t>
      </w:r>
      <w:r w:rsidRPr="004C731D">
        <w:rPr>
          <w:color w:val="000000"/>
        </w:rPr>
        <w:t>the relevant dimensions directly from each micro</w:t>
      </w:r>
      <w:r w:rsidR="00317BF0">
        <w:rPr>
          <w:color w:val="000000"/>
        </w:rPr>
        <w:t xml:space="preserve"> </w:t>
      </w:r>
      <w:r w:rsidRPr="004C731D">
        <w:rPr>
          <w:color w:val="000000"/>
        </w:rPr>
        <w:t>data</w:t>
      </w:r>
      <w:r w:rsidR="002132E6">
        <w:rPr>
          <w:color w:val="000000"/>
        </w:rPr>
        <w:t xml:space="preserve"> set</w:t>
      </w:r>
      <w:r w:rsidRPr="004C731D">
        <w:rPr>
          <w:color w:val="000000"/>
        </w:rPr>
        <w:t xml:space="preserve"> on urban employment surveys in Mexico. </w:t>
      </w:r>
    </w:p>
    <w:p w14:paraId="4CB6B9E9" w14:textId="61A00765" w:rsidR="004D4C32" w:rsidRPr="004C731D" w:rsidRDefault="002C62AE" w:rsidP="007C0C15">
      <w:pPr>
        <w:pStyle w:val="NormalWeb"/>
        <w:spacing w:after="0" w:afterAutospacing="0"/>
        <w:jc w:val="both"/>
        <w:rPr>
          <w:color w:val="000000"/>
        </w:rPr>
      </w:pPr>
      <w:r w:rsidRPr="004C731D">
        <w:rPr>
          <w:color w:val="000000"/>
        </w:rPr>
        <w:t xml:space="preserve">We </w:t>
      </w:r>
      <w:r w:rsidRPr="002C62AE">
        <w:rPr>
          <w:color w:val="000000"/>
        </w:rPr>
        <w:t>define</w:t>
      </w:r>
      <w:r w:rsidR="007C0C15">
        <w:rPr>
          <w:color w:val="000000"/>
        </w:rPr>
        <w:t>d</w:t>
      </w:r>
      <w:r w:rsidRPr="004C731D">
        <w:rPr>
          <w:color w:val="000000"/>
        </w:rPr>
        <w:t xml:space="preserve"> and </w:t>
      </w:r>
      <w:r w:rsidRPr="002C62AE">
        <w:rPr>
          <w:color w:val="000000"/>
        </w:rPr>
        <w:t>estimate</w:t>
      </w:r>
      <w:r w:rsidR="007C0C15">
        <w:rPr>
          <w:color w:val="000000"/>
        </w:rPr>
        <w:t>d</w:t>
      </w:r>
      <w:r w:rsidRPr="004C731D">
        <w:rPr>
          <w:color w:val="000000"/>
        </w:rPr>
        <w:t xml:space="preserve"> a VAR model linking each employment class (formal and informal, by gender) and aggregate production (defined by the real GDP) to identify the deepening and persistence of the initial shock of the recession</w:t>
      </w:r>
      <w:r w:rsidR="007C0C15">
        <w:rPr>
          <w:color w:val="000000"/>
        </w:rPr>
        <w:t>. Then</w:t>
      </w:r>
      <w:r w:rsidR="009C7604">
        <w:rPr>
          <w:color w:val="000000"/>
        </w:rPr>
        <w:t>,</w:t>
      </w:r>
      <w:r w:rsidR="007C0C15">
        <w:rPr>
          <w:color w:val="000000"/>
        </w:rPr>
        <w:t xml:space="preserve"> we</w:t>
      </w:r>
      <w:r w:rsidRPr="002C62AE">
        <w:rPr>
          <w:color w:val="000000"/>
        </w:rPr>
        <w:t xml:space="preserve"> estimate</w:t>
      </w:r>
      <w:r w:rsidR="007C0C15">
        <w:rPr>
          <w:color w:val="000000"/>
        </w:rPr>
        <w:t>d</w:t>
      </w:r>
      <w:r w:rsidRPr="004C731D">
        <w:rPr>
          <w:color w:val="000000"/>
        </w:rPr>
        <w:t xml:space="preserve"> the structural impact when </w:t>
      </w:r>
      <w:r w:rsidRPr="002C62AE">
        <w:rPr>
          <w:color w:val="000000"/>
        </w:rPr>
        <w:t>consider</w:t>
      </w:r>
      <w:r w:rsidR="007C0C15">
        <w:rPr>
          <w:color w:val="000000"/>
        </w:rPr>
        <w:t>ing</w:t>
      </w:r>
      <w:r w:rsidRPr="004C731D">
        <w:rPr>
          <w:color w:val="000000"/>
        </w:rPr>
        <w:t xml:space="preserve"> the pre-COVID-19 forecasting of employment dynamics</w:t>
      </w:r>
      <w:r w:rsidR="0018456D">
        <w:rPr>
          <w:color w:val="000000"/>
        </w:rPr>
        <w:t>,</w:t>
      </w:r>
      <w:r w:rsidRPr="004C731D">
        <w:rPr>
          <w:color w:val="000000"/>
        </w:rPr>
        <w:t xml:space="preserve"> given the initial observed shock on productivity</w:t>
      </w:r>
      <w:r w:rsidR="0018456D">
        <w:rPr>
          <w:color w:val="000000"/>
        </w:rPr>
        <w:t>,</w:t>
      </w:r>
      <w:r w:rsidRPr="004C731D">
        <w:rPr>
          <w:color w:val="000000"/>
        </w:rPr>
        <w:t xml:space="preserve"> and </w:t>
      </w:r>
      <w:r w:rsidRPr="002C62AE">
        <w:rPr>
          <w:color w:val="000000"/>
        </w:rPr>
        <w:t>compare</w:t>
      </w:r>
      <w:r w:rsidR="007C0C15">
        <w:rPr>
          <w:color w:val="000000"/>
        </w:rPr>
        <w:t>d</w:t>
      </w:r>
      <w:r w:rsidRPr="004C731D">
        <w:rPr>
          <w:color w:val="000000"/>
        </w:rPr>
        <w:t xml:space="preserve"> it with the actual levels of employment observed over the year 2020. </w:t>
      </w:r>
    </w:p>
    <w:p w14:paraId="189F6AC2" w14:textId="676FC3B3" w:rsidR="004932B4" w:rsidRPr="004C731D" w:rsidRDefault="002C62AE" w:rsidP="0018456D">
      <w:pPr>
        <w:pStyle w:val="NormalWeb"/>
        <w:spacing w:after="0" w:afterAutospacing="0"/>
        <w:jc w:val="both"/>
        <w:rPr>
          <w:color w:val="000000"/>
        </w:rPr>
      </w:pPr>
      <w:r w:rsidRPr="004C731D">
        <w:rPr>
          <w:color w:val="000000"/>
        </w:rPr>
        <w:t xml:space="preserve">Our results show a </w:t>
      </w:r>
      <w:r w:rsidR="002A0588">
        <w:rPr>
          <w:color w:val="000000"/>
        </w:rPr>
        <w:t>significant</w:t>
      </w:r>
      <w:r w:rsidRPr="004C731D">
        <w:rPr>
          <w:color w:val="000000"/>
        </w:rPr>
        <w:t xml:space="preserve"> structural and persistent effect on formal employment losses with lengthy recovery on employment levels, particularly </w:t>
      </w:r>
      <w:r w:rsidR="00B45BFC">
        <w:rPr>
          <w:color w:val="000000"/>
        </w:rPr>
        <w:t>in</w:t>
      </w:r>
      <w:r w:rsidR="00B45BFC" w:rsidRPr="004C731D">
        <w:rPr>
          <w:color w:val="000000"/>
        </w:rPr>
        <w:t xml:space="preserve"> </w:t>
      </w:r>
      <w:r w:rsidRPr="004C731D">
        <w:rPr>
          <w:color w:val="000000"/>
        </w:rPr>
        <w:t>the formal</w:t>
      </w:r>
      <w:r w:rsidR="0018456D">
        <w:rPr>
          <w:color w:val="000000"/>
        </w:rPr>
        <w:t xml:space="preserve"> </w:t>
      </w:r>
      <w:r w:rsidRPr="004C731D">
        <w:rPr>
          <w:color w:val="000000"/>
        </w:rPr>
        <w:t xml:space="preserve">male sector, </w:t>
      </w:r>
      <w:r w:rsidR="0018456D">
        <w:rPr>
          <w:color w:val="000000"/>
        </w:rPr>
        <w:t>as well as</w:t>
      </w:r>
      <w:r w:rsidR="0018456D" w:rsidRPr="002132E6">
        <w:t xml:space="preserve"> </w:t>
      </w:r>
      <w:r w:rsidR="00B45BFC" w:rsidRPr="004C731D">
        <w:rPr>
          <w:color w:val="000000"/>
        </w:rPr>
        <w:t>a larger relative recovery rate of female formal labor employment</w:t>
      </w:r>
      <w:r w:rsidRPr="004C731D">
        <w:rPr>
          <w:color w:val="000000"/>
        </w:rPr>
        <w:t xml:space="preserve">. On the other hand, both the female and male informal sectors show a lower initial long-run response to </w:t>
      </w:r>
      <w:r w:rsidR="00B45BFC">
        <w:rPr>
          <w:color w:val="000000"/>
        </w:rPr>
        <w:t xml:space="preserve">the </w:t>
      </w:r>
      <w:r w:rsidRPr="004C731D">
        <w:rPr>
          <w:color w:val="000000"/>
        </w:rPr>
        <w:t>COVID-19 shock</w:t>
      </w:r>
      <w:r w:rsidR="00B45BFC">
        <w:rPr>
          <w:color w:val="000000"/>
        </w:rPr>
        <w:t>,</w:t>
      </w:r>
      <w:r w:rsidRPr="004C731D">
        <w:rPr>
          <w:color w:val="000000"/>
        </w:rPr>
        <w:t xml:space="preserve"> so all</w:t>
      </w:r>
      <w:r w:rsidR="00B45BFC">
        <w:rPr>
          <w:color w:val="000000"/>
        </w:rPr>
        <w:t xml:space="preserve"> of</w:t>
      </w:r>
      <w:r w:rsidRPr="004C731D">
        <w:rPr>
          <w:color w:val="000000"/>
        </w:rPr>
        <w:t xml:space="preserve"> the observed job losses are related to a structural change in the labor market.</w:t>
      </w:r>
      <w:r w:rsidR="00211B0D" w:rsidRPr="004C731D">
        <w:rPr>
          <w:color w:val="000000"/>
        </w:rPr>
        <w:t xml:space="preserve"> </w:t>
      </w:r>
      <w:r w:rsidR="004932B4" w:rsidRPr="004C731D">
        <w:rPr>
          <w:color w:val="000000"/>
        </w:rPr>
        <w:t>Formal employment reacts to economic changes</w:t>
      </w:r>
      <w:r w:rsidR="00B45BFC">
        <w:rPr>
          <w:color w:val="000000"/>
        </w:rPr>
        <w:t xml:space="preserve"> as</w:t>
      </w:r>
      <w:r w:rsidR="004932B4" w:rsidRPr="002C62AE">
        <w:rPr>
          <w:color w:val="000000"/>
        </w:rPr>
        <w:t xml:space="preserve"> </w:t>
      </w:r>
      <w:r w:rsidR="00B45BFC">
        <w:rPr>
          <w:color w:val="000000"/>
        </w:rPr>
        <w:t>it is</w:t>
      </w:r>
      <w:r w:rsidR="00B45BFC" w:rsidRPr="004C731D">
        <w:rPr>
          <w:color w:val="000000"/>
        </w:rPr>
        <w:t xml:space="preserve"> </w:t>
      </w:r>
      <w:r w:rsidR="004932B4" w:rsidRPr="004C731D">
        <w:rPr>
          <w:color w:val="000000"/>
        </w:rPr>
        <w:t>more interdependent and dynamic in structure.</w:t>
      </w:r>
    </w:p>
    <w:p w14:paraId="12120166" w14:textId="29ED0258" w:rsidR="00182F69" w:rsidRPr="00666047" w:rsidRDefault="00182F69" w:rsidP="001D1E74">
      <w:pPr>
        <w:spacing w:after="0" w:line="240" w:lineRule="auto"/>
        <w:jc w:val="both"/>
        <w:rPr>
          <w:rFonts w:asciiTheme="majorBidi" w:hAnsiTheme="majorBidi"/>
          <w:b/>
          <w:sz w:val="24"/>
        </w:rPr>
      </w:pPr>
    </w:p>
    <w:p w14:paraId="25AC6741" w14:textId="185CEDB2" w:rsidR="002D2E99" w:rsidRPr="004C731D" w:rsidRDefault="002D2E99" w:rsidP="003B6591">
      <w:pPr>
        <w:spacing w:after="0" w:line="240" w:lineRule="auto"/>
        <w:jc w:val="both"/>
        <w:rPr>
          <w:rFonts w:asciiTheme="majorBidi" w:hAnsiTheme="majorBidi"/>
          <w:sz w:val="24"/>
        </w:rPr>
      </w:pPr>
      <w:r w:rsidRPr="00666047">
        <w:rPr>
          <w:rFonts w:asciiTheme="majorBidi" w:hAnsiTheme="majorBidi"/>
          <w:sz w:val="24"/>
        </w:rPr>
        <w:lastRenderedPageBreak/>
        <w:t xml:space="preserve">The implications of our analysis permit us to understand the deepening of the COVID-19 crisis in terms of </w:t>
      </w:r>
      <w:r w:rsidRPr="00294B9C">
        <w:rPr>
          <w:rFonts w:asciiTheme="majorBidi" w:hAnsiTheme="majorBidi"/>
          <w:sz w:val="24"/>
        </w:rPr>
        <w:t>change</w:t>
      </w:r>
      <w:r w:rsidR="003B6591">
        <w:rPr>
          <w:rFonts w:asciiTheme="majorBidi" w:hAnsiTheme="majorBidi"/>
          <w:sz w:val="24"/>
        </w:rPr>
        <w:t>s</w:t>
      </w:r>
      <w:r w:rsidRPr="004C731D">
        <w:rPr>
          <w:rFonts w:asciiTheme="majorBidi" w:hAnsiTheme="majorBidi"/>
          <w:sz w:val="24"/>
        </w:rPr>
        <w:t xml:space="preserve"> in the market structure, </w:t>
      </w:r>
      <w:r w:rsidR="00B45BFC">
        <w:rPr>
          <w:rFonts w:asciiTheme="majorBidi" w:hAnsiTheme="majorBidi" w:cstheme="majorBidi"/>
          <w:sz w:val="24"/>
          <w:szCs w:val="24"/>
        </w:rPr>
        <w:t>as well as</w:t>
      </w:r>
      <w:r w:rsidR="00B45BFC" w:rsidRPr="004C731D">
        <w:rPr>
          <w:rFonts w:asciiTheme="majorBidi" w:hAnsiTheme="majorBidi"/>
          <w:sz w:val="24"/>
        </w:rPr>
        <w:t xml:space="preserve"> </w:t>
      </w:r>
      <w:r w:rsidRPr="004C731D">
        <w:rPr>
          <w:rFonts w:asciiTheme="majorBidi" w:hAnsiTheme="majorBidi"/>
          <w:sz w:val="24"/>
        </w:rPr>
        <w:t>how these changes induce</w:t>
      </w:r>
      <w:r w:rsidR="0060243D" w:rsidRPr="004C731D">
        <w:rPr>
          <w:rFonts w:asciiTheme="majorBidi" w:hAnsiTheme="majorBidi"/>
          <w:sz w:val="24"/>
        </w:rPr>
        <w:t xml:space="preserve"> larger impacts on the Mexican male</w:t>
      </w:r>
      <w:r w:rsidR="00B45BFC">
        <w:rPr>
          <w:rFonts w:asciiTheme="majorBidi" w:hAnsiTheme="majorBidi" w:cstheme="majorBidi"/>
          <w:sz w:val="24"/>
          <w:szCs w:val="24"/>
        </w:rPr>
        <w:t xml:space="preserve"> </w:t>
      </w:r>
      <w:r w:rsidR="0060243D" w:rsidRPr="004C731D">
        <w:rPr>
          <w:rFonts w:asciiTheme="majorBidi" w:hAnsiTheme="majorBidi"/>
          <w:sz w:val="24"/>
        </w:rPr>
        <w:t>formal and female</w:t>
      </w:r>
      <w:r w:rsidR="00B45BFC">
        <w:rPr>
          <w:rFonts w:asciiTheme="majorBidi" w:hAnsiTheme="majorBidi" w:cstheme="majorBidi"/>
          <w:sz w:val="24"/>
          <w:szCs w:val="24"/>
        </w:rPr>
        <w:t xml:space="preserve"> </w:t>
      </w:r>
      <w:r w:rsidR="0060243D" w:rsidRPr="004C731D">
        <w:rPr>
          <w:rFonts w:asciiTheme="majorBidi" w:hAnsiTheme="majorBidi"/>
          <w:sz w:val="24"/>
        </w:rPr>
        <w:t>formal labor markets. On the other hand, long-term estimations imply that all</w:t>
      </w:r>
      <w:r w:rsidR="0060243D">
        <w:rPr>
          <w:rFonts w:asciiTheme="majorBidi" w:hAnsiTheme="majorBidi" w:cstheme="majorBidi"/>
          <w:sz w:val="24"/>
          <w:szCs w:val="24"/>
        </w:rPr>
        <w:t xml:space="preserve"> </w:t>
      </w:r>
      <w:r w:rsidR="00EC7A6A">
        <w:rPr>
          <w:rFonts w:asciiTheme="majorBidi" w:hAnsiTheme="majorBidi" w:cstheme="majorBidi"/>
          <w:sz w:val="24"/>
          <w:szCs w:val="24"/>
        </w:rPr>
        <w:t>of the</w:t>
      </w:r>
      <w:r w:rsidR="00EC7A6A" w:rsidRPr="004C731D">
        <w:rPr>
          <w:rFonts w:asciiTheme="majorBidi" w:hAnsiTheme="majorBidi"/>
          <w:sz w:val="24"/>
        </w:rPr>
        <w:t xml:space="preserve"> </w:t>
      </w:r>
      <w:r w:rsidR="0060243D" w:rsidRPr="004C731D">
        <w:rPr>
          <w:rFonts w:asciiTheme="majorBidi" w:hAnsiTheme="majorBidi"/>
          <w:sz w:val="24"/>
        </w:rPr>
        <w:t xml:space="preserve">observed losses in informal employment could be related to </w:t>
      </w:r>
      <w:r w:rsidR="002A0588">
        <w:rPr>
          <w:rFonts w:asciiTheme="majorBidi" w:hAnsiTheme="majorBidi"/>
          <w:sz w:val="24"/>
        </w:rPr>
        <w:t>profound</w:t>
      </w:r>
      <w:r w:rsidR="0060243D" w:rsidRPr="004C731D">
        <w:rPr>
          <w:rFonts w:asciiTheme="majorBidi" w:hAnsiTheme="majorBidi"/>
          <w:sz w:val="24"/>
        </w:rPr>
        <w:t xml:space="preserve"> structural changes in the labor market, as this market segment traditionally </w:t>
      </w:r>
      <w:r w:rsidR="008A11E6" w:rsidRPr="004C731D">
        <w:rPr>
          <w:rFonts w:asciiTheme="majorBidi" w:hAnsiTheme="majorBidi"/>
          <w:sz w:val="24"/>
        </w:rPr>
        <w:t>played the role of substitute of formality and buffer of real economic stress</w:t>
      </w:r>
      <w:r w:rsidR="0060243D" w:rsidRPr="004C731D">
        <w:rPr>
          <w:rFonts w:asciiTheme="majorBidi" w:hAnsiTheme="majorBidi"/>
          <w:sz w:val="24"/>
        </w:rPr>
        <w:t>.</w:t>
      </w:r>
      <w:r w:rsidRPr="004C731D">
        <w:rPr>
          <w:rFonts w:asciiTheme="majorBidi" w:hAnsiTheme="majorBidi"/>
          <w:sz w:val="24"/>
        </w:rPr>
        <w:t xml:space="preserve"> </w:t>
      </w:r>
    </w:p>
    <w:p w14:paraId="24347F0B" w14:textId="0CFA9FC4" w:rsidR="0060243D" w:rsidRPr="00666047" w:rsidRDefault="0060243D" w:rsidP="001D1E74">
      <w:pPr>
        <w:spacing w:after="0" w:line="240" w:lineRule="auto"/>
        <w:jc w:val="both"/>
        <w:rPr>
          <w:rFonts w:asciiTheme="majorBidi" w:hAnsiTheme="majorBidi"/>
          <w:sz w:val="24"/>
        </w:rPr>
      </w:pPr>
    </w:p>
    <w:p w14:paraId="05CFE2B8" w14:textId="28DE8536" w:rsidR="0060243D" w:rsidRPr="004C731D" w:rsidRDefault="004C731D" w:rsidP="004C731D">
      <w:pPr>
        <w:spacing w:after="0" w:line="240" w:lineRule="auto"/>
        <w:jc w:val="both"/>
        <w:rPr>
          <w:rFonts w:asciiTheme="majorBidi" w:hAnsiTheme="majorBidi"/>
          <w:sz w:val="24"/>
        </w:rPr>
      </w:pPr>
      <w:r>
        <w:rPr>
          <w:rFonts w:asciiTheme="majorBidi" w:hAnsiTheme="majorBidi"/>
          <w:sz w:val="24"/>
        </w:rPr>
        <w:t>G</w:t>
      </w:r>
      <w:r w:rsidRPr="00A46182">
        <w:rPr>
          <w:rFonts w:asciiTheme="majorBidi" w:hAnsiTheme="majorBidi"/>
          <w:sz w:val="24"/>
        </w:rPr>
        <w:t>iven</w:t>
      </w:r>
      <w:r w:rsidRPr="004C731D">
        <w:rPr>
          <w:rFonts w:asciiTheme="majorBidi" w:hAnsiTheme="majorBidi"/>
          <w:sz w:val="24"/>
        </w:rPr>
        <w:t xml:space="preserve"> that the heterogeneity in human capital across cities induces different turnover and duration in </w:t>
      </w:r>
      <w:r>
        <w:rPr>
          <w:rFonts w:asciiTheme="majorBidi" w:hAnsiTheme="majorBidi" w:cstheme="majorBidi"/>
          <w:sz w:val="24"/>
          <w:szCs w:val="24"/>
        </w:rPr>
        <w:t>workers</w:t>
      </w:r>
      <w:r w:rsidR="00317BF0">
        <w:rPr>
          <w:rFonts w:asciiTheme="majorBidi" w:hAnsiTheme="majorBidi" w:cstheme="majorBidi"/>
          <w:sz w:val="24"/>
          <w:szCs w:val="24"/>
        </w:rPr>
        <w:t>'</w:t>
      </w:r>
      <w:r w:rsidRPr="004C731D">
        <w:rPr>
          <w:rFonts w:asciiTheme="majorBidi" w:hAnsiTheme="majorBidi"/>
          <w:sz w:val="24"/>
        </w:rPr>
        <w:t xml:space="preserve"> formality</w:t>
      </w:r>
      <w:r>
        <w:rPr>
          <w:rFonts w:asciiTheme="majorBidi" w:hAnsiTheme="majorBidi" w:cstheme="majorBidi"/>
          <w:sz w:val="24"/>
          <w:szCs w:val="24"/>
        </w:rPr>
        <w:t>–</w:t>
      </w:r>
      <w:r w:rsidRPr="004C731D">
        <w:rPr>
          <w:rFonts w:asciiTheme="majorBidi" w:hAnsiTheme="majorBidi"/>
          <w:sz w:val="24"/>
        </w:rPr>
        <w:t xml:space="preserve">informality </w:t>
      </w:r>
      <w:r w:rsidRPr="00A46182">
        <w:rPr>
          <w:rFonts w:asciiTheme="majorBidi" w:hAnsiTheme="majorBidi"/>
          <w:sz w:val="24"/>
        </w:rPr>
        <w:t>cycle</w:t>
      </w:r>
      <w:r w:rsidRPr="004C731D">
        <w:rPr>
          <w:rFonts w:asciiTheme="majorBidi" w:hAnsiTheme="majorBidi"/>
          <w:sz w:val="24"/>
        </w:rPr>
        <w:t xml:space="preserve"> (Escobedo and Moreno, 2020</w:t>
      </w:r>
      <w:r>
        <w:rPr>
          <w:rFonts w:asciiTheme="majorBidi" w:hAnsiTheme="majorBidi"/>
          <w:sz w:val="24"/>
        </w:rPr>
        <w:t>),</w:t>
      </w:r>
      <w:r w:rsidRPr="00A46182">
        <w:rPr>
          <w:rFonts w:asciiTheme="majorBidi" w:hAnsiTheme="majorBidi"/>
          <w:sz w:val="24"/>
        </w:rPr>
        <w:t xml:space="preserve"> </w:t>
      </w:r>
      <w:r w:rsidR="002A0588">
        <w:rPr>
          <w:rFonts w:asciiTheme="majorBidi" w:hAnsiTheme="majorBidi"/>
          <w:sz w:val="24"/>
        </w:rPr>
        <w:t>a critical</w:t>
      </w:r>
      <w:r w:rsidR="00BF145E" w:rsidRPr="00294B9C">
        <w:rPr>
          <w:rFonts w:asciiTheme="majorBidi" w:hAnsiTheme="majorBidi"/>
          <w:sz w:val="24"/>
        </w:rPr>
        <w:t xml:space="preserve"> concern of our work is related to the potential specific dynamics within each </w:t>
      </w:r>
      <w:r w:rsidR="00317BF0">
        <w:rPr>
          <w:rFonts w:asciiTheme="majorBidi" w:hAnsiTheme="majorBidi"/>
          <w:sz w:val="24"/>
        </w:rPr>
        <w:t>local urban</w:t>
      </w:r>
      <w:r w:rsidR="00BF145E" w:rsidRPr="00294B9C">
        <w:rPr>
          <w:rFonts w:asciiTheme="majorBidi" w:hAnsiTheme="majorBidi"/>
          <w:sz w:val="24"/>
        </w:rPr>
        <w:t xml:space="preserve"> market in terms of formality</w:t>
      </w:r>
      <w:r w:rsidR="00BB0112">
        <w:rPr>
          <w:rFonts w:asciiTheme="majorBidi" w:hAnsiTheme="majorBidi" w:cstheme="majorBidi"/>
          <w:sz w:val="24"/>
          <w:szCs w:val="24"/>
        </w:rPr>
        <w:t>–</w:t>
      </w:r>
      <w:r w:rsidR="00BF145E" w:rsidRPr="00A46182">
        <w:rPr>
          <w:rFonts w:asciiTheme="majorBidi" w:hAnsiTheme="majorBidi"/>
          <w:sz w:val="24"/>
        </w:rPr>
        <w:t>informality dynamics</w:t>
      </w:r>
      <w:r>
        <w:rPr>
          <w:rFonts w:asciiTheme="majorBidi" w:hAnsiTheme="majorBidi"/>
          <w:sz w:val="24"/>
        </w:rPr>
        <w:t>.</w:t>
      </w:r>
      <w:r w:rsidR="00BF145E" w:rsidRPr="004C731D">
        <w:rPr>
          <w:rFonts w:asciiTheme="majorBidi" w:hAnsiTheme="majorBidi"/>
          <w:sz w:val="24"/>
        </w:rPr>
        <w:t xml:space="preserve"> Further analysis beyond the purpose of this paper might be required to test the diversity of dynamic results across cities </w:t>
      </w:r>
      <w:r w:rsidR="00C61753" w:rsidRPr="004C731D">
        <w:rPr>
          <w:rFonts w:asciiTheme="majorBidi" w:hAnsiTheme="majorBidi"/>
          <w:sz w:val="24"/>
        </w:rPr>
        <w:t xml:space="preserve">and their expanded urban areas </w:t>
      </w:r>
      <w:r w:rsidR="00BF145E" w:rsidRPr="004C731D">
        <w:rPr>
          <w:rFonts w:asciiTheme="majorBidi" w:hAnsiTheme="majorBidi"/>
          <w:sz w:val="24"/>
        </w:rPr>
        <w:t>within the country</w:t>
      </w:r>
      <w:r w:rsidR="00C61753" w:rsidRPr="004C731D">
        <w:rPr>
          <w:rFonts w:asciiTheme="majorBidi" w:hAnsiTheme="majorBidi"/>
          <w:sz w:val="24"/>
        </w:rPr>
        <w:t>.</w:t>
      </w:r>
    </w:p>
    <w:p w14:paraId="4C30BEE5" w14:textId="3E82A736" w:rsidR="00CD51CF" w:rsidRDefault="00CD51CF" w:rsidP="00BA3471">
      <w:pPr>
        <w:spacing w:after="0" w:line="240" w:lineRule="auto"/>
        <w:rPr>
          <w:rFonts w:asciiTheme="majorBidi" w:hAnsiTheme="majorBidi"/>
          <w:sz w:val="24"/>
        </w:rPr>
      </w:pPr>
    </w:p>
    <w:p w14:paraId="3555895A" w14:textId="77777777" w:rsidR="00925006" w:rsidRDefault="00925006" w:rsidP="00BA3471">
      <w:pPr>
        <w:spacing w:after="0" w:line="240" w:lineRule="auto"/>
        <w:rPr>
          <w:rFonts w:asciiTheme="majorBidi" w:hAnsiTheme="majorBidi"/>
          <w:sz w:val="24"/>
        </w:rPr>
      </w:pPr>
    </w:p>
    <w:p w14:paraId="614E9B39" w14:textId="4E6C84E7" w:rsidR="009B0B19" w:rsidRDefault="00BA3471" w:rsidP="009B0B19">
      <w:pPr>
        <w:spacing w:after="0" w:line="240" w:lineRule="auto"/>
        <w:rPr>
          <w:rFonts w:asciiTheme="majorBidi" w:hAnsiTheme="majorBidi" w:cstheme="majorBidi"/>
          <w:b/>
          <w:bCs/>
          <w:sz w:val="24"/>
          <w:szCs w:val="24"/>
          <w:lang w:val="es-MX"/>
        </w:rPr>
      </w:pPr>
      <w:r w:rsidRPr="00BA3471">
        <w:rPr>
          <w:rFonts w:asciiTheme="majorBidi" w:hAnsiTheme="majorBidi" w:cstheme="majorBidi"/>
          <w:b/>
          <w:bCs/>
          <w:sz w:val="24"/>
          <w:szCs w:val="24"/>
          <w:lang w:val="es-MX"/>
        </w:rPr>
        <w:t>References</w:t>
      </w:r>
    </w:p>
    <w:p w14:paraId="34335E0C" w14:textId="77777777" w:rsidR="009B0B19" w:rsidRDefault="009B0B19" w:rsidP="009B0B19">
      <w:pPr>
        <w:spacing w:after="0" w:line="240" w:lineRule="auto"/>
        <w:ind w:left="284" w:hanging="284"/>
        <w:rPr>
          <w:rFonts w:asciiTheme="majorBidi" w:hAnsiTheme="majorBidi" w:cstheme="majorBidi"/>
          <w:b/>
          <w:bCs/>
          <w:sz w:val="24"/>
          <w:szCs w:val="24"/>
          <w:lang w:val="es-MX"/>
        </w:rPr>
      </w:pPr>
    </w:p>
    <w:p w14:paraId="1FA5B379" w14:textId="6C234571"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t>Algazi, S. (2018). </w:t>
      </w:r>
      <w:r>
        <w:rPr>
          <w:rFonts w:asciiTheme="majorBidi" w:hAnsiTheme="majorBidi" w:cstheme="majorBidi"/>
          <w:i/>
          <w:iCs/>
          <w:color w:val="222222"/>
          <w:sz w:val="24"/>
          <w:szCs w:val="24"/>
          <w:shd w:val="clear" w:color="auto" w:fill="FFFFFF"/>
          <w:lang w:val="es-MX"/>
        </w:rPr>
        <w:t>Esfuerzos mal recompensados: la elusiva búsqueda de la prosperidad en México.</w:t>
      </w:r>
      <w:r>
        <w:rPr>
          <w:rFonts w:asciiTheme="majorBidi" w:hAnsiTheme="majorBidi" w:cstheme="majorBidi"/>
          <w:color w:val="222222"/>
          <w:sz w:val="24"/>
          <w:szCs w:val="24"/>
          <w:shd w:val="clear" w:color="auto" w:fill="FFFFFF"/>
          <w:lang w:val="es-MX"/>
        </w:rPr>
        <w:t xml:space="preserve"> </w:t>
      </w:r>
      <w:r>
        <w:rPr>
          <w:rFonts w:asciiTheme="majorBidi" w:hAnsiTheme="majorBidi" w:cstheme="majorBidi"/>
          <w:color w:val="222222"/>
          <w:sz w:val="24"/>
          <w:szCs w:val="24"/>
          <w:shd w:val="clear" w:color="auto" w:fill="FFFFFF"/>
        </w:rPr>
        <w:t>Inter-American Development Bank.</w:t>
      </w:r>
    </w:p>
    <w:p w14:paraId="32E2F3A9"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Pr>
          <w:rFonts w:asciiTheme="majorBidi" w:hAnsiTheme="majorBidi" w:cstheme="majorBidi"/>
          <w:color w:val="222222"/>
          <w:sz w:val="24"/>
          <w:szCs w:val="24"/>
          <w:shd w:val="clear" w:color="auto" w:fill="FFFFFF"/>
        </w:rPr>
        <w:t>Akkemik, K. (2007</w:t>
      </w:r>
      <w:r>
        <w:rPr>
          <w:rFonts w:asciiTheme="majorBidi" w:hAnsiTheme="majorBidi" w:cstheme="majorBidi"/>
          <w:i/>
          <w:iCs/>
          <w:color w:val="222222"/>
          <w:sz w:val="24"/>
          <w:szCs w:val="24"/>
          <w:shd w:val="clear" w:color="auto" w:fill="FFFFFF"/>
        </w:rPr>
        <w:t>). The response of employment to GDP growth in Turkey: an econometric estimation.</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lang w:val="es-MX"/>
        </w:rPr>
        <w:t>Applied Econometrics and International Development</w:t>
      </w:r>
      <w:r>
        <w:rPr>
          <w:rFonts w:asciiTheme="majorBidi" w:hAnsiTheme="majorBidi" w:cstheme="majorBidi"/>
          <w:color w:val="222222"/>
          <w:sz w:val="24"/>
          <w:szCs w:val="24"/>
          <w:shd w:val="clear" w:color="auto" w:fill="FFFFFF"/>
          <w:lang w:val="es-MX"/>
        </w:rPr>
        <w:t>, </w:t>
      </w:r>
      <w:r>
        <w:rPr>
          <w:rFonts w:asciiTheme="majorBidi" w:hAnsiTheme="majorBidi" w:cstheme="majorBidi"/>
          <w:i/>
          <w:iCs/>
          <w:color w:val="222222"/>
          <w:sz w:val="24"/>
          <w:szCs w:val="24"/>
          <w:shd w:val="clear" w:color="auto" w:fill="FFFFFF"/>
          <w:lang w:val="es-MX"/>
        </w:rPr>
        <w:t>7</w:t>
      </w:r>
      <w:r>
        <w:rPr>
          <w:rFonts w:asciiTheme="majorBidi" w:hAnsiTheme="majorBidi" w:cstheme="majorBidi"/>
          <w:color w:val="222222"/>
          <w:sz w:val="24"/>
          <w:szCs w:val="24"/>
          <w:shd w:val="clear" w:color="auto" w:fill="FFFFFF"/>
          <w:lang w:val="es-MX"/>
        </w:rPr>
        <w:t>(1). 65-74.</w:t>
      </w:r>
    </w:p>
    <w:p w14:paraId="47AA77E8"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t>Altamirano, A., Azuara, O., &amp; González, S. (2020). ¿Cómo impactará la COVID-19 al empleo? </w:t>
      </w:r>
      <w:r>
        <w:rPr>
          <w:rFonts w:asciiTheme="majorBidi" w:hAnsiTheme="majorBidi" w:cstheme="majorBidi"/>
          <w:i/>
          <w:iCs/>
          <w:color w:val="222222"/>
          <w:sz w:val="24"/>
          <w:szCs w:val="24"/>
          <w:shd w:val="clear" w:color="auto" w:fill="FFFFFF"/>
          <w:lang w:val="es-MX"/>
        </w:rPr>
        <w:t>Posibles escenarios para América Latina y el Caribe. Banco Interamericano de Desarrollo.</w:t>
      </w:r>
      <w:r>
        <w:rPr>
          <w:rFonts w:asciiTheme="majorBidi" w:hAnsiTheme="majorBidi" w:cstheme="majorBidi"/>
          <w:color w:val="222222"/>
          <w:sz w:val="24"/>
          <w:szCs w:val="24"/>
          <w:shd w:val="clear" w:color="auto" w:fill="FFFFFF"/>
          <w:lang w:val="es-MX"/>
        </w:rPr>
        <w:t xml:space="preserve"> </w:t>
      </w:r>
      <w:r>
        <w:rPr>
          <w:rFonts w:asciiTheme="majorBidi" w:hAnsiTheme="majorBidi" w:cstheme="majorBidi"/>
          <w:color w:val="222222"/>
          <w:sz w:val="24"/>
          <w:szCs w:val="24"/>
          <w:shd w:val="clear" w:color="auto" w:fill="FFFFFF"/>
        </w:rPr>
        <w:t>Taken from: https://publications.iadb.org/publications/spanish/document/C%C3%B3mo_impactar%C3%A1_la_COVID-19_al_empleo_Posibles_escenarios_para_Am%C3%A9rica_Latina_y_el_Caribe.pdf</w:t>
      </w:r>
    </w:p>
    <w:p w14:paraId="71C6CD21"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Arrow, K., Chenery, H., Minhas, B., &amp; Solow, R. (1961). Capital-Labor Substitution and Economic Efficiency. </w:t>
      </w:r>
      <w:r>
        <w:rPr>
          <w:rFonts w:asciiTheme="majorBidi" w:hAnsiTheme="majorBidi" w:cstheme="majorBidi"/>
          <w:i/>
          <w:iCs/>
          <w:color w:val="222222"/>
          <w:sz w:val="24"/>
          <w:szCs w:val="24"/>
          <w:shd w:val="clear" w:color="auto" w:fill="FFFFFF"/>
        </w:rPr>
        <w:t>The Review of Economics and Statistics</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43</w:t>
      </w:r>
      <w:r>
        <w:rPr>
          <w:rFonts w:asciiTheme="majorBidi" w:hAnsiTheme="majorBidi" w:cstheme="majorBidi"/>
          <w:color w:val="222222"/>
          <w:sz w:val="24"/>
          <w:szCs w:val="24"/>
          <w:shd w:val="clear" w:color="auto" w:fill="FFFFFF"/>
        </w:rPr>
        <w:t>(3), 225. https://doi.org/10.2307/1927286</w:t>
      </w:r>
    </w:p>
    <w:p w14:paraId="72B8609F"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Banco de México, B. D. M. (2020). </w:t>
      </w:r>
      <w:r>
        <w:rPr>
          <w:rFonts w:asciiTheme="majorBidi" w:hAnsiTheme="majorBidi" w:cstheme="majorBidi"/>
          <w:color w:val="222222"/>
          <w:sz w:val="24"/>
          <w:szCs w:val="24"/>
          <w:shd w:val="clear" w:color="auto" w:fill="FFFFFF"/>
          <w:lang w:val="es-MX"/>
        </w:rPr>
        <w:t xml:space="preserve">Banco de México: Resumen Ejecutivo del Informe Trimestral enero-marzo 2020. </w:t>
      </w:r>
      <w:r>
        <w:rPr>
          <w:rFonts w:asciiTheme="majorBidi" w:hAnsiTheme="majorBidi" w:cstheme="majorBidi"/>
          <w:color w:val="222222"/>
          <w:sz w:val="24"/>
          <w:szCs w:val="24"/>
          <w:shd w:val="clear" w:color="auto" w:fill="FFFFFF"/>
        </w:rPr>
        <w:t>Taken from: https://www.banxico.org.mx/publicaciones-y-prensa/informes-trimestrales/%7B27A91766-1C6C-467D-4361-5B8C46999D8F%7D.pdf.</w:t>
      </w:r>
    </w:p>
    <w:p w14:paraId="265FBADC"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Becker, G. (1986). </w:t>
      </w:r>
      <w:r>
        <w:rPr>
          <w:rFonts w:asciiTheme="majorBidi" w:hAnsiTheme="majorBidi" w:cstheme="majorBidi"/>
          <w:i/>
          <w:iCs/>
          <w:color w:val="222222"/>
          <w:sz w:val="24"/>
          <w:szCs w:val="24"/>
          <w:shd w:val="clear" w:color="auto" w:fill="FFFFFF"/>
        </w:rPr>
        <w:t>An economic analysis of the family.</w:t>
      </w:r>
      <w:r>
        <w:rPr>
          <w:rFonts w:asciiTheme="majorBidi" w:hAnsiTheme="majorBidi" w:cstheme="majorBidi"/>
          <w:color w:val="222222"/>
          <w:sz w:val="24"/>
          <w:szCs w:val="24"/>
          <w:shd w:val="clear" w:color="auto" w:fill="FFFFFF"/>
        </w:rPr>
        <w:t xml:space="preserve"> Economic and Social Research Institute.</w:t>
      </w:r>
    </w:p>
    <w:p w14:paraId="41905094"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lastRenderedPageBreak/>
        <w:t xml:space="preserve">CEPAL, N. (2020). América Latina y el Caribe ante la pandemia del COVID-19: efectos económicos y sociales. </w:t>
      </w:r>
      <w:r>
        <w:rPr>
          <w:rFonts w:asciiTheme="majorBidi" w:hAnsiTheme="majorBidi" w:cstheme="majorBidi"/>
          <w:color w:val="222222"/>
          <w:sz w:val="24"/>
          <w:szCs w:val="24"/>
          <w:shd w:val="clear" w:color="auto" w:fill="FFFFFF"/>
        </w:rPr>
        <w:t>Taken from: https://www.cepal.org/es/publicaciones/45337-america-latina-caribe-la-pandemia-covid-19-efectos-economicos-sociales.</w:t>
      </w:r>
    </w:p>
    <w:p w14:paraId="5870229E" w14:textId="77777777" w:rsidR="009B0B19" w:rsidRDefault="009B0B19" w:rsidP="009B0B19">
      <w:pPr>
        <w:spacing w:after="0" w:line="360" w:lineRule="auto"/>
        <w:ind w:left="284" w:hanging="284"/>
        <w:rPr>
          <w:rFonts w:ascii="Times New Roman" w:hAnsi="Times New Roman" w:cs="Times New Roman"/>
          <w:color w:val="222222"/>
          <w:sz w:val="24"/>
          <w:szCs w:val="24"/>
          <w:shd w:val="clear" w:color="auto" w:fill="FFFFFF"/>
          <w:lang w:val="es-MX"/>
        </w:rPr>
      </w:pPr>
      <w:r>
        <w:rPr>
          <w:rFonts w:asciiTheme="majorBidi" w:hAnsiTheme="majorBidi" w:cstheme="majorBidi"/>
          <w:color w:val="222222"/>
          <w:sz w:val="24"/>
          <w:szCs w:val="24"/>
          <w:shd w:val="clear" w:color="auto" w:fill="FFFFFF"/>
          <w:lang w:val="es-MX"/>
        </w:rPr>
        <w:t xml:space="preserve">Cota, J. (2020). COVID-19 y el empleo en México: impacto inicial y pronósticos de corto </w:t>
      </w:r>
      <w:r>
        <w:rPr>
          <w:rFonts w:ascii="Times New Roman" w:hAnsi="Times New Roman" w:cs="Times New Roman"/>
          <w:color w:val="222222"/>
          <w:sz w:val="24"/>
          <w:szCs w:val="24"/>
          <w:shd w:val="clear" w:color="auto" w:fill="FFFFFF"/>
          <w:lang w:val="es-MX"/>
        </w:rPr>
        <w:t>plazo. </w:t>
      </w:r>
      <w:r>
        <w:rPr>
          <w:rFonts w:ascii="Times New Roman" w:hAnsi="Times New Roman" w:cs="Times New Roman"/>
          <w:i/>
          <w:iCs/>
          <w:color w:val="222222"/>
          <w:sz w:val="24"/>
          <w:szCs w:val="24"/>
          <w:shd w:val="clear" w:color="auto" w:fill="FFFFFF"/>
          <w:lang w:val="es-MX"/>
        </w:rPr>
        <w:t>Contaduría y administración</w:t>
      </w:r>
      <w:r>
        <w:rPr>
          <w:rFonts w:ascii="Times New Roman" w:hAnsi="Times New Roman" w:cs="Times New Roman"/>
          <w:color w:val="222222"/>
          <w:sz w:val="24"/>
          <w:szCs w:val="24"/>
          <w:shd w:val="clear" w:color="auto" w:fill="FFFFFF"/>
          <w:lang w:val="es-MX"/>
        </w:rPr>
        <w:t>, </w:t>
      </w:r>
      <w:r>
        <w:rPr>
          <w:rFonts w:ascii="Times New Roman" w:hAnsi="Times New Roman" w:cs="Times New Roman"/>
          <w:i/>
          <w:iCs/>
          <w:color w:val="222222"/>
          <w:sz w:val="24"/>
          <w:szCs w:val="24"/>
          <w:shd w:val="clear" w:color="auto" w:fill="FFFFFF"/>
          <w:lang w:val="es-MX"/>
        </w:rPr>
        <w:t>65</w:t>
      </w:r>
      <w:r>
        <w:rPr>
          <w:rFonts w:ascii="Times New Roman" w:hAnsi="Times New Roman" w:cs="Times New Roman"/>
          <w:color w:val="222222"/>
          <w:sz w:val="24"/>
          <w:szCs w:val="24"/>
          <w:shd w:val="clear" w:color="auto" w:fill="FFFFFF"/>
          <w:lang w:val="es-MX"/>
        </w:rPr>
        <w:t>(4), 8.</w:t>
      </w:r>
    </w:p>
    <w:p w14:paraId="60ECF3F8" w14:textId="77777777" w:rsidR="009B0B19" w:rsidRDefault="009B0B19" w:rsidP="009B0B19">
      <w:pPr>
        <w:spacing w:after="0" w:line="360" w:lineRule="auto"/>
        <w:ind w:left="284" w:hanging="284"/>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 xml:space="preserve">Cuellar, C. (2019). </w:t>
      </w:r>
      <w:r>
        <w:rPr>
          <w:rFonts w:ascii="Times New Roman" w:eastAsia="Times New Roman" w:hAnsi="Times New Roman" w:cs="Times New Roman"/>
          <w:i/>
          <w:iCs/>
          <w:sz w:val="24"/>
          <w:szCs w:val="24"/>
          <w:lang w:val="es-MX" w:eastAsia="es-MX"/>
        </w:rPr>
        <w:t xml:space="preserve">Evolución de la brecha salarial en México: Un enfoque de género y capital humano para el sector formal asalariado </w:t>
      </w:r>
      <w:r>
        <w:rPr>
          <w:rFonts w:ascii="Times New Roman" w:eastAsia="Times New Roman" w:hAnsi="Times New Roman" w:cs="Times New Roman"/>
          <w:sz w:val="24"/>
          <w:szCs w:val="24"/>
          <w:lang w:val="es-MX" w:eastAsia="es-MX"/>
        </w:rPr>
        <w:t xml:space="preserve">[Tesis de maestría no publicada]. Universidad Autónoma de Nuevo León. </w:t>
      </w:r>
    </w:p>
    <w:p w14:paraId="7D58527F" w14:textId="77777777" w:rsidR="009B0B19" w:rsidRDefault="009B0B19" w:rsidP="009B0B19">
      <w:pPr>
        <w:spacing w:after="0" w:line="360" w:lineRule="auto"/>
        <w:ind w:left="284" w:hanging="284"/>
        <w:rPr>
          <w:rFonts w:asciiTheme="majorBidi" w:hAnsiTheme="majorBidi" w:cstheme="majorBidi"/>
          <w:color w:val="222222"/>
          <w:sz w:val="40"/>
          <w:szCs w:val="40"/>
          <w:shd w:val="clear" w:color="auto" w:fill="FFFFFF"/>
          <w:lang w:val="es-MX"/>
        </w:rPr>
      </w:pPr>
      <w:r>
        <w:rPr>
          <w:rFonts w:asciiTheme="majorBidi" w:hAnsiTheme="majorBidi" w:cstheme="majorBidi"/>
          <w:color w:val="222222"/>
          <w:sz w:val="24"/>
          <w:szCs w:val="24"/>
          <w:shd w:val="clear" w:color="auto" w:fill="FFFFFF"/>
          <w:lang w:val="es-MX"/>
        </w:rPr>
        <w:t xml:space="preserve">Dong, E., Du, H., &amp; Gardner, L. (2020). </w:t>
      </w:r>
      <w:r>
        <w:rPr>
          <w:rFonts w:asciiTheme="majorBidi" w:hAnsiTheme="majorBidi" w:cstheme="majorBidi"/>
          <w:color w:val="222222"/>
          <w:sz w:val="24"/>
          <w:szCs w:val="24"/>
          <w:shd w:val="clear" w:color="auto" w:fill="FFFFFF"/>
        </w:rPr>
        <w:t>An interactive web-based dashboard to track COVID-19 in real time. </w:t>
      </w:r>
      <w:r>
        <w:rPr>
          <w:rFonts w:asciiTheme="majorBidi" w:hAnsiTheme="majorBidi" w:cstheme="majorBidi"/>
          <w:i/>
          <w:iCs/>
          <w:color w:val="222222"/>
          <w:sz w:val="24"/>
          <w:szCs w:val="24"/>
          <w:shd w:val="clear" w:color="auto" w:fill="FFFFFF"/>
          <w:lang w:val="es-MX"/>
        </w:rPr>
        <w:t>The Lancet infectious diseases</w:t>
      </w:r>
      <w:r>
        <w:rPr>
          <w:rFonts w:asciiTheme="majorBidi" w:hAnsiTheme="majorBidi" w:cstheme="majorBidi"/>
          <w:color w:val="222222"/>
          <w:sz w:val="24"/>
          <w:szCs w:val="24"/>
          <w:shd w:val="clear" w:color="auto" w:fill="FFFFFF"/>
          <w:lang w:val="es-MX"/>
        </w:rPr>
        <w:t>, </w:t>
      </w:r>
      <w:r>
        <w:rPr>
          <w:rFonts w:asciiTheme="majorBidi" w:hAnsiTheme="majorBidi" w:cstheme="majorBidi"/>
          <w:i/>
          <w:iCs/>
          <w:color w:val="222222"/>
          <w:sz w:val="24"/>
          <w:szCs w:val="24"/>
          <w:shd w:val="clear" w:color="auto" w:fill="FFFFFF"/>
          <w:lang w:val="es-MX"/>
        </w:rPr>
        <w:t>20</w:t>
      </w:r>
      <w:r>
        <w:rPr>
          <w:rFonts w:asciiTheme="majorBidi" w:hAnsiTheme="majorBidi" w:cstheme="majorBidi"/>
          <w:color w:val="222222"/>
          <w:sz w:val="24"/>
          <w:szCs w:val="24"/>
          <w:shd w:val="clear" w:color="auto" w:fill="FFFFFF"/>
          <w:lang w:val="es-MX"/>
        </w:rPr>
        <w:t>(5), 533-534.</w:t>
      </w:r>
    </w:p>
    <w:p w14:paraId="4061D76F"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Pr>
          <w:rFonts w:asciiTheme="majorBidi" w:hAnsiTheme="majorBidi" w:cstheme="majorBidi"/>
          <w:color w:val="222222"/>
          <w:sz w:val="24"/>
          <w:szCs w:val="24"/>
          <w:shd w:val="clear" w:color="auto" w:fill="FFFFFF"/>
          <w:lang w:val="es-ES"/>
        </w:rPr>
        <w:t xml:space="preserve">Encuesta Nacional de Empleo Urbano (ENEU), años de 1987 a 2019, INEGI. Taken from: www.inegi.gob.mx </w:t>
      </w:r>
    </w:p>
    <w:p w14:paraId="04929C90"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Pr>
          <w:rFonts w:asciiTheme="majorBidi" w:hAnsiTheme="majorBidi" w:cstheme="majorBidi"/>
          <w:color w:val="222222"/>
          <w:sz w:val="24"/>
          <w:szCs w:val="24"/>
          <w:shd w:val="clear" w:color="auto" w:fill="FFFFFF"/>
          <w:lang w:val="es-ES"/>
        </w:rPr>
        <w:t xml:space="preserve">Encuesta Nacional de Ocupación y Empleo (ENOE), años de 2005 a 2019, INEGI. </w:t>
      </w:r>
      <w:r>
        <w:rPr>
          <w:rFonts w:asciiTheme="majorBidi" w:hAnsiTheme="majorBidi" w:cstheme="majorBidi"/>
          <w:color w:val="222222"/>
          <w:sz w:val="24"/>
          <w:szCs w:val="24"/>
          <w:shd w:val="clear" w:color="auto" w:fill="FFFFFF"/>
          <w:lang w:val="es-MX"/>
        </w:rPr>
        <w:t xml:space="preserve">Taken from: www.inegi.gob.mx </w:t>
      </w:r>
    </w:p>
    <w:p w14:paraId="078CEE9F"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lang w:val="es-MX"/>
        </w:rPr>
      </w:pPr>
      <w:r>
        <w:rPr>
          <w:rFonts w:asciiTheme="majorBidi" w:hAnsiTheme="majorBidi" w:cstheme="majorBidi"/>
          <w:color w:val="222222"/>
          <w:sz w:val="24"/>
          <w:szCs w:val="24"/>
          <w:shd w:val="clear" w:color="auto" w:fill="FFFFFF"/>
          <w:lang w:val="es-MX"/>
        </w:rPr>
        <w:t>Esquivel, G. (2020). Los impactos económicos de la pandemia en México. </w:t>
      </w:r>
      <w:r>
        <w:rPr>
          <w:rFonts w:asciiTheme="majorBidi" w:hAnsiTheme="majorBidi" w:cstheme="majorBidi"/>
          <w:i/>
          <w:iCs/>
          <w:color w:val="222222"/>
          <w:sz w:val="24"/>
          <w:szCs w:val="24"/>
          <w:shd w:val="clear" w:color="auto" w:fill="FFFFFF"/>
          <w:lang w:val="es-MX"/>
        </w:rPr>
        <w:t>Economía UNAM</w:t>
      </w:r>
      <w:r>
        <w:rPr>
          <w:rFonts w:asciiTheme="majorBidi" w:hAnsiTheme="majorBidi" w:cstheme="majorBidi"/>
          <w:color w:val="222222"/>
          <w:sz w:val="24"/>
          <w:szCs w:val="24"/>
          <w:shd w:val="clear" w:color="auto" w:fill="FFFFFF"/>
          <w:lang w:val="es-MX"/>
        </w:rPr>
        <w:t>, </w:t>
      </w:r>
      <w:r>
        <w:rPr>
          <w:rFonts w:asciiTheme="majorBidi" w:hAnsiTheme="majorBidi" w:cstheme="majorBidi"/>
          <w:i/>
          <w:iCs/>
          <w:color w:val="222222"/>
          <w:sz w:val="24"/>
          <w:szCs w:val="24"/>
          <w:shd w:val="clear" w:color="auto" w:fill="FFFFFF"/>
          <w:lang w:val="es-MX"/>
        </w:rPr>
        <w:t>17</w:t>
      </w:r>
      <w:r>
        <w:rPr>
          <w:rFonts w:asciiTheme="majorBidi" w:hAnsiTheme="majorBidi" w:cstheme="majorBidi"/>
          <w:color w:val="222222"/>
          <w:sz w:val="24"/>
          <w:szCs w:val="24"/>
          <w:shd w:val="clear" w:color="auto" w:fill="FFFFFF"/>
          <w:lang w:val="es-MX"/>
        </w:rPr>
        <w:t>(51), 28-44. https://doi.org/10.22201/fe.24488143e.2020.51.543</w:t>
      </w:r>
    </w:p>
    <w:p w14:paraId="44AB06FA"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t>Flores, D., Valero, J., Chapa, J., &amp; Bedoy, B. (2005). El sector informal en México: medición y cálculo para la recaudación potencial. </w:t>
      </w:r>
      <w:r>
        <w:rPr>
          <w:rFonts w:asciiTheme="majorBidi" w:hAnsiTheme="majorBidi" w:cstheme="majorBidi"/>
          <w:i/>
          <w:iCs/>
          <w:color w:val="222222"/>
          <w:sz w:val="24"/>
          <w:szCs w:val="24"/>
          <w:shd w:val="clear" w:color="auto" w:fill="FFFFFF"/>
        </w:rPr>
        <w:t>Ciencia UANL</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8</w:t>
      </w:r>
      <w:r>
        <w:rPr>
          <w:rFonts w:asciiTheme="majorBidi" w:hAnsiTheme="majorBidi" w:cstheme="majorBidi"/>
          <w:color w:val="222222"/>
          <w:sz w:val="24"/>
          <w:szCs w:val="24"/>
          <w:shd w:val="clear" w:color="auto" w:fill="FFFFFF"/>
        </w:rPr>
        <w:t>(4).</w:t>
      </w:r>
    </w:p>
    <w:p w14:paraId="70378E04"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Gandrud, C., Williams, L., &amp; Whitten, G. Dynamic Simulations of Autoregressive Relationships in R with dynsim. Taken from: https://www.semanticscholar.org/paper/Dynamic-Simulations-of-Autoregressive-Relationships-Gandrud-Williams/93faff473239bef8471e5f9be155acbe562b100c.</w:t>
      </w:r>
    </w:p>
    <w:p w14:paraId="1E50308F"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Hart, K. (1970). 8. Small‐scale entrepreneurs in Ghana and development planning. </w:t>
      </w:r>
      <w:r>
        <w:rPr>
          <w:rFonts w:asciiTheme="majorBidi" w:hAnsiTheme="majorBidi" w:cstheme="majorBidi"/>
          <w:i/>
          <w:iCs/>
          <w:color w:val="222222"/>
          <w:sz w:val="24"/>
          <w:szCs w:val="24"/>
          <w:shd w:val="clear" w:color="auto" w:fill="FFFFFF"/>
        </w:rPr>
        <w:t>The Journal of Development Studies</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6</w:t>
      </w:r>
      <w:r>
        <w:rPr>
          <w:rFonts w:asciiTheme="majorBidi" w:hAnsiTheme="majorBidi" w:cstheme="majorBidi"/>
          <w:color w:val="222222"/>
          <w:sz w:val="24"/>
          <w:szCs w:val="24"/>
          <w:shd w:val="clear" w:color="auto" w:fill="FFFFFF"/>
        </w:rPr>
        <w:t>(4), 104-120. https://doi.org/10.1080/00220387008421338</w:t>
      </w:r>
    </w:p>
    <w:p w14:paraId="0563903B" w14:textId="77777777" w:rsidR="009B0B19" w:rsidRDefault="009B0B19" w:rsidP="009B0B19">
      <w:pPr>
        <w:spacing w:after="0" w:line="360" w:lineRule="auto"/>
        <w:ind w:left="284" w:hanging="284"/>
        <w:rPr>
          <w:rFonts w:asciiTheme="majorBidi" w:hAnsiTheme="majorBidi" w:cstheme="majorBidi"/>
          <w:sz w:val="24"/>
        </w:rPr>
      </w:pPr>
      <w:r>
        <w:rPr>
          <w:rFonts w:asciiTheme="majorBidi" w:hAnsiTheme="majorBidi" w:cstheme="majorBidi"/>
          <w:sz w:val="24"/>
        </w:rPr>
        <w:t>Humphrey, D. (1940). Alleged "additional workers" in the measurement of unemployment. </w:t>
      </w:r>
      <w:r>
        <w:rPr>
          <w:rFonts w:asciiTheme="majorBidi" w:hAnsiTheme="majorBidi" w:cstheme="majorBidi"/>
          <w:i/>
          <w:iCs/>
          <w:sz w:val="24"/>
        </w:rPr>
        <w:t>Journal of Political Economy</w:t>
      </w:r>
      <w:r>
        <w:rPr>
          <w:rFonts w:asciiTheme="majorBidi" w:hAnsiTheme="majorBidi" w:cstheme="majorBidi"/>
          <w:sz w:val="24"/>
        </w:rPr>
        <w:t>, </w:t>
      </w:r>
      <w:r>
        <w:rPr>
          <w:rFonts w:asciiTheme="majorBidi" w:hAnsiTheme="majorBidi" w:cstheme="majorBidi"/>
          <w:i/>
          <w:iCs/>
          <w:sz w:val="24"/>
        </w:rPr>
        <w:t>48</w:t>
      </w:r>
      <w:r>
        <w:rPr>
          <w:rFonts w:asciiTheme="majorBidi" w:hAnsiTheme="majorBidi" w:cstheme="majorBidi"/>
          <w:sz w:val="24"/>
        </w:rPr>
        <w:t xml:space="preserve">(3). 412-419. </w:t>
      </w:r>
    </w:p>
    <w:p w14:paraId="57A0D656" w14:textId="77777777" w:rsidR="009B0B19" w:rsidRDefault="009B0B19" w:rsidP="009B0B19">
      <w:pPr>
        <w:spacing w:after="0" w:line="360" w:lineRule="auto"/>
        <w:ind w:left="284" w:hanging="284"/>
        <w:rPr>
          <w:rFonts w:asciiTheme="majorBidi" w:hAnsiTheme="majorBidi" w:cstheme="majorBidi"/>
          <w:sz w:val="24"/>
        </w:rPr>
      </w:pPr>
      <w:r>
        <w:rPr>
          <w:rFonts w:asciiTheme="majorBidi" w:hAnsiTheme="majorBidi" w:cstheme="majorBidi"/>
          <w:sz w:val="24"/>
        </w:rPr>
        <w:t xml:space="preserve">International Monetary Fund, I.M.F. (2020). World economic outlook: The great lockdown. </w:t>
      </w:r>
      <w:r>
        <w:rPr>
          <w:rFonts w:asciiTheme="majorBidi" w:hAnsiTheme="majorBidi" w:cstheme="majorBidi"/>
          <w:i/>
          <w:iCs/>
          <w:sz w:val="24"/>
        </w:rPr>
        <w:t>International Monetary Fund</w:t>
      </w:r>
      <w:r>
        <w:rPr>
          <w:rFonts w:asciiTheme="majorBidi" w:hAnsiTheme="majorBidi" w:cstheme="majorBidi"/>
          <w:sz w:val="24"/>
        </w:rPr>
        <w:t>. Taken from: https://www.imf.org/en/Publications/WEO/Issues/2020/04/14/weo-april-2020.</w:t>
      </w:r>
    </w:p>
    <w:p w14:paraId="504B9634" w14:textId="77777777" w:rsidR="009B0B19" w:rsidRDefault="009B0B19" w:rsidP="009B0B19">
      <w:pPr>
        <w:spacing w:after="0" w:line="360" w:lineRule="auto"/>
        <w:ind w:left="284" w:hanging="284"/>
        <w:rPr>
          <w:rFonts w:asciiTheme="majorBidi" w:hAnsiTheme="majorBidi" w:cstheme="majorBidi"/>
          <w:sz w:val="24"/>
          <w:lang w:val="es-MX"/>
        </w:rPr>
      </w:pPr>
      <w:r>
        <w:rPr>
          <w:rFonts w:asciiTheme="majorBidi" w:hAnsiTheme="majorBidi" w:cstheme="majorBidi"/>
          <w:sz w:val="24"/>
          <w:lang w:val="es-MX"/>
        </w:rPr>
        <w:lastRenderedPageBreak/>
        <w:t>Instituto Nacional de estadística y Geografía, INEGI. (2020). Indicadores de ocupación y empleo. Cifras oportunas durante marzo de 2020.</w:t>
      </w:r>
    </w:p>
    <w:p w14:paraId="7ECE377B" w14:textId="77777777" w:rsidR="009B0B19" w:rsidRDefault="009B0B19" w:rsidP="009B0B19">
      <w:pPr>
        <w:spacing w:after="0" w:line="360" w:lineRule="auto"/>
        <w:ind w:left="284" w:hanging="284"/>
        <w:rPr>
          <w:rFonts w:asciiTheme="majorBidi" w:hAnsiTheme="majorBidi" w:cstheme="majorBidi"/>
          <w:sz w:val="24"/>
          <w:lang w:val="es-MX"/>
        </w:rPr>
      </w:pPr>
      <w:r>
        <w:rPr>
          <w:rFonts w:asciiTheme="majorBidi" w:hAnsiTheme="majorBidi" w:cstheme="majorBidi"/>
          <w:sz w:val="24"/>
          <w:lang w:val="es-MX"/>
        </w:rPr>
        <w:t>Jiménez-Bandala, C., Peralta, J., Sánchez, E., Olvera, I., &amp; Aceves, D. (2020). La situación del mercado laboral en México antes y durante la COVID-19. </w:t>
      </w:r>
      <w:r>
        <w:rPr>
          <w:rFonts w:asciiTheme="majorBidi" w:hAnsiTheme="majorBidi" w:cstheme="majorBidi"/>
          <w:i/>
          <w:iCs/>
          <w:sz w:val="24"/>
          <w:lang w:val="es-MX"/>
        </w:rPr>
        <w:t>Revista Internacional de Salarios Dignos</w:t>
      </w:r>
      <w:r>
        <w:rPr>
          <w:rFonts w:asciiTheme="majorBidi" w:hAnsiTheme="majorBidi" w:cstheme="majorBidi"/>
          <w:sz w:val="24"/>
          <w:lang w:val="es-MX"/>
        </w:rPr>
        <w:t>, </w:t>
      </w:r>
      <w:r>
        <w:rPr>
          <w:rFonts w:asciiTheme="majorBidi" w:hAnsiTheme="majorBidi" w:cstheme="majorBidi"/>
          <w:i/>
          <w:iCs/>
          <w:sz w:val="24"/>
          <w:lang w:val="es-MX"/>
        </w:rPr>
        <w:t>2</w:t>
      </w:r>
      <w:r>
        <w:rPr>
          <w:rFonts w:asciiTheme="majorBidi" w:hAnsiTheme="majorBidi" w:cstheme="majorBidi"/>
          <w:sz w:val="24"/>
          <w:lang w:val="es-MX"/>
        </w:rPr>
        <w:t>(2). 1-14.</w:t>
      </w:r>
    </w:p>
    <w:p w14:paraId="48336DC8" w14:textId="77777777" w:rsidR="009B0B19" w:rsidRDefault="009B0B19" w:rsidP="009B0B19">
      <w:pPr>
        <w:spacing w:after="0" w:line="360" w:lineRule="auto"/>
        <w:ind w:left="284" w:hanging="284"/>
        <w:rPr>
          <w:rFonts w:asciiTheme="majorBidi" w:hAnsiTheme="majorBidi" w:cstheme="majorBidi"/>
          <w:sz w:val="24"/>
          <w:lang w:val="es-MX"/>
        </w:rPr>
      </w:pPr>
      <w:r>
        <w:rPr>
          <w:rFonts w:asciiTheme="majorBidi" w:hAnsiTheme="majorBidi" w:cstheme="majorBidi"/>
          <w:sz w:val="24"/>
          <w:lang w:val="es-MX"/>
        </w:rPr>
        <w:t>Maldonado, D., &amp; Ruiz, J. (2020). La crisis ocasionada por la COVID-19 y sus efectos en el empleo y la pobreza en México. </w:t>
      </w:r>
      <w:r>
        <w:rPr>
          <w:rFonts w:asciiTheme="majorBidi" w:hAnsiTheme="majorBidi" w:cstheme="majorBidi"/>
          <w:i/>
          <w:iCs/>
          <w:sz w:val="24"/>
          <w:lang w:val="es-MX"/>
        </w:rPr>
        <w:t>Revista Internacional de Salarios Dignos</w:t>
      </w:r>
      <w:r>
        <w:rPr>
          <w:rFonts w:asciiTheme="majorBidi" w:hAnsiTheme="majorBidi" w:cstheme="majorBidi"/>
          <w:sz w:val="24"/>
          <w:lang w:val="es-MX"/>
        </w:rPr>
        <w:t>, </w:t>
      </w:r>
      <w:r>
        <w:rPr>
          <w:rFonts w:asciiTheme="majorBidi" w:hAnsiTheme="majorBidi" w:cstheme="majorBidi"/>
          <w:i/>
          <w:iCs/>
          <w:sz w:val="24"/>
          <w:lang w:val="es-MX"/>
        </w:rPr>
        <w:t>2</w:t>
      </w:r>
      <w:r>
        <w:rPr>
          <w:rFonts w:asciiTheme="majorBidi" w:hAnsiTheme="majorBidi" w:cstheme="majorBidi"/>
          <w:sz w:val="24"/>
          <w:lang w:val="es-MX"/>
        </w:rPr>
        <w:t>(3). 23-38.</w:t>
      </w:r>
    </w:p>
    <w:p w14:paraId="7807747C" w14:textId="77777777" w:rsidR="009B0B19" w:rsidRDefault="009B0B19" w:rsidP="009B0B19">
      <w:pPr>
        <w:spacing w:after="0" w:line="360" w:lineRule="auto"/>
        <w:ind w:left="284" w:hanging="284"/>
        <w:rPr>
          <w:rFonts w:asciiTheme="majorBidi" w:hAnsiTheme="majorBidi" w:cstheme="majorBidi"/>
          <w:sz w:val="24"/>
          <w:lang w:val="es-MX"/>
        </w:rPr>
      </w:pPr>
      <w:r>
        <w:rPr>
          <w:rFonts w:asciiTheme="majorBidi" w:hAnsiTheme="majorBidi" w:cstheme="majorBidi"/>
          <w:sz w:val="24"/>
          <w:lang w:val="es-MX"/>
        </w:rPr>
        <w:t>Maloney, W. (2004). Informality revisited. </w:t>
      </w:r>
      <w:r>
        <w:rPr>
          <w:rFonts w:asciiTheme="majorBidi" w:hAnsiTheme="majorBidi" w:cstheme="majorBidi"/>
          <w:i/>
          <w:iCs/>
          <w:sz w:val="24"/>
          <w:lang w:val="es-MX"/>
        </w:rPr>
        <w:t>World Development</w:t>
      </w:r>
      <w:r>
        <w:rPr>
          <w:rFonts w:asciiTheme="majorBidi" w:hAnsiTheme="majorBidi" w:cstheme="majorBidi"/>
          <w:sz w:val="24"/>
          <w:lang w:val="es-MX"/>
        </w:rPr>
        <w:t xml:space="preserve">, </w:t>
      </w:r>
      <w:r>
        <w:rPr>
          <w:rFonts w:asciiTheme="majorBidi" w:hAnsiTheme="majorBidi" w:cstheme="majorBidi"/>
          <w:i/>
          <w:iCs/>
          <w:sz w:val="24"/>
          <w:lang w:val="es-MX"/>
        </w:rPr>
        <w:t>32</w:t>
      </w:r>
      <w:r>
        <w:rPr>
          <w:rFonts w:asciiTheme="majorBidi" w:hAnsiTheme="majorBidi" w:cstheme="majorBidi"/>
          <w:sz w:val="24"/>
          <w:lang w:val="es-MX"/>
        </w:rPr>
        <w:t>(7). 1159-1178.</w:t>
      </w:r>
    </w:p>
    <w:p w14:paraId="510CA94A" w14:textId="77777777" w:rsidR="009B0B19" w:rsidRDefault="009B0B19" w:rsidP="009B0B19">
      <w:pPr>
        <w:spacing w:after="0" w:line="360" w:lineRule="auto"/>
        <w:ind w:left="284" w:hanging="284"/>
        <w:rPr>
          <w:rFonts w:asciiTheme="majorBidi" w:hAnsiTheme="majorBidi" w:cstheme="majorBidi"/>
          <w:sz w:val="24"/>
          <w:lang w:val="pt-BR"/>
        </w:rPr>
      </w:pPr>
      <w:r>
        <w:rPr>
          <w:rFonts w:asciiTheme="majorBidi" w:hAnsiTheme="majorBidi" w:cstheme="majorBidi"/>
          <w:sz w:val="24"/>
          <w:lang w:val="es-MX"/>
        </w:rPr>
        <w:t xml:space="preserve">México, C. V. (2020). El impacto del COVID-19 sobre el empleo formal en los estados. </w:t>
      </w:r>
      <w:r>
        <w:rPr>
          <w:rFonts w:asciiTheme="majorBidi" w:hAnsiTheme="majorBidi" w:cstheme="majorBidi"/>
          <w:sz w:val="24"/>
          <w:lang w:val="pt-BR"/>
        </w:rPr>
        <w:t xml:space="preserve">Taken from: https://mexicocomovamos.mx/new/md-multimedia/1597177275-38.pdf. </w:t>
      </w:r>
    </w:p>
    <w:p w14:paraId="6DC7599E" w14:textId="77777777" w:rsidR="009B0B19" w:rsidRDefault="009B0B19" w:rsidP="009B0B19">
      <w:pPr>
        <w:spacing w:after="0" w:line="360" w:lineRule="auto"/>
        <w:ind w:left="284" w:hanging="284"/>
        <w:rPr>
          <w:rFonts w:asciiTheme="majorBidi" w:hAnsiTheme="majorBidi" w:cstheme="majorBidi"/>
          <w:sz w:val="24"/>
          <w:lang w:val="es-MX"/>
        </w:rPr>
      </w:pPr>
      <w:r>
        <w:rPr>
          <w:rFonts w:asciiTheme="majorBidi" w:hAnsiTheme="majorBidi" w:cstheme="majorBidi"/>
          <w:sz w:val="24"/>
          <w:lang w:val="pt-BR"/>
        </w:rPr>
        <w:t xml:space="preserve">Escobedo, J., &amp; Moreno, J. (2020). </w:t>
      </w:r>
      <w:r>
        <w:rPr>
          <w:rFonts w:asciiTheme="majorBidi" w:hAnsiTheme="majorBidi" w:cstheme="majorBidi"/>
          <w:sz w:val="24"/>
          <w:lang w:val="es-MX"/>
        </w:rPr>
        <w:t xml:space="preserve">Transición y persistencia en el ciclo formal-informal en México: El papel del capital humano. </w:t>
      </w:r>
      <w:r>
        <w:rPr>
          <w:rFonts w:asciiTheme="majorBidi" w:hAnsiTheme="majorBidi" w:cstheme="majorBidi"/>
          <w:i/>
          <w:iCs/>
          <w:sz w:val="24"/>
          <w:lang w:val="es-MX"/>
        </w:rPr>
        <w:t>Revista de Economía Laboral</w:t>
      </w:r>
      <w:r>
        <w:rPr>
          <w:rFonts w:asciiTheme="majorBidi" w:hAnsiTheme="majorBidi" w:cstheme="majorBidi"/>
          <w:sz w:val="24"/>
          <w:lang w:val="es-MX"/>
        </w:rPr>
        <w:t xml:space="preserve">, </w:t>
      </w:r>
      <w:r>
        <w:rPr>
          <w:rFonts w:asciiTheme="majorBidi" w:hAnsiTheme="majorBidi" w:cstheme="majorBidi"/>
          <w:i/>
          <w:iCs/>
          <w:sz w:val="24"/>
          <w:lang w:val="es-MX"/>
        </w:rPr>
        <w:t>17</w:t>
      </w:r>
      <w:r>
        <w:rPr>
          <w:rFonts w:asciiTheme="majorBidi" w:hAnsiTheme="majorBidi" w:cstheme="majorBidi"/>
          <w:sz w:val="24"/>
          <w:lang w:val="es-MX"/>
        </w:rPr>
        <w:t>(1), 1-45. http://doi.org/10.21114/rel.2020.01.01</w:t>
      </w:r>
    </w:p>
    <w:p w14:paraId="13C5E528" w14:textId="77777777" w:rsidR="009B0B19" w:rsidRDefault="009B0B19" w:rsidP="009B0B19">
      <w:pPr>
        <w:spacing w:after="0" w:line="360" w:lineRule="auto"/>
        <w:ind w:left="284" w:hanging="284"/>
        <w:rPr>
          <w:rFonts w:asciiTheme="majorBidi" w:hAnsiTheme="majorBidi" w:cstheme="majorBidi"/>
          <w:sz w:val="24"/>
        </w:rPr>
      </w:pPr>
      <w:r>
        <w:rPr>
          <w:rFonts w:asciiTheme="majorBidi" w:hAnsiTheme="majorBidi" w:cstheme="majorBidi"/>
          <w:sz w:val="24"/>
          <w:lang w:val="es-MX"/>
        </w:rPr>
        <w:t xml:space="preserve">Moreno, J.  </w:t>
      </w:r>
      <w:r>
        <w:rPr>
          <w:rFonts w:asciiTheme="majorBidi" w:hAnsiTheme="majorBidi" w:cstheme="majorBidi"/>
          <w:sz w:val="24"/>
        </w:rPr>
        <w:t xml:space="preserve">(2007). Are Formal and Informal Labor Market Wages Different? Analyzing the Gains and Losses from Formalization in México. </w:t>
      </w:r>
      <w:r>
        <w:rPr>
          <w:rFonts w:asciiTheme="majorBidi" w:hAnsiTheme="majorBidi" w:cstheme="majorBidi"/>
          <w:i/>
          <w:iCs/>
          <w:sz w:val="24"/>
        </w:rPr>
        <w:t>Ensayos</w:t>
      </w:r>
      <w:r>
        <w:rPr>
          <w:rFonts w:asciiTheme="majorBidi" w:hAnsiTheme="majorBidi" w:cstheme="majorBidi"/>
          <w:sz w:val="24"/>
        </w:rPr>
        <w:t xml:space="preserve">, </w:t>
      </w:r>
      <w:r>
        <w:rPr>
          <w:rFonts w:asciiTheme="majorBidi" w:hAnsiTheme="majorBidi" w:cstheme="majorBidi"/>
          <w:i/>
          <w:iCs/>
          <w:sz w:val="24"/>
        </w:rPr>
        <w:t>24</w:t>
      </w:r>
      <w:r>
        <w:rPr>
          <w:rFonts w:asciiTheme="majorBidi" w:hAnsiTheme="majorBidi" w:cstheme="majorBidi"/>
          <w:sz w:val="24"/>
        </w:rPr>
        <w:t xml:space="preserve">(1), 1-44. </w:t>
      </w:r>
    </w:p>
    <w:p w14:paraId="29F4F298" w14:textId="77777777" w:rsidR="009B0B19" w:rsidRDefault="009B0B19" w:rsidP="009B0B19">
      <w:pPr>
        <w:spacing w:after="0" w:line="360" w:lineRule="auto"/>
        <w:ind w:left="284" w:hanging="284"/>
        <w:rPr>
          <w:rFonts w:asciiTheme="majorBidi" w:hAnsiTheme="majorBidi" w:cstheme="majorBidi"/>
          <w:sz w:val="24"/>
        </w:rPr>
      </w:pPr>
      <w:r>
        <w:rPr>
          <w:rFonts w:asciiTheme="majorBidi" w:hAnsiTheme="majorBidi" w:cstheme="majorBidi"/>
          <w:sz w:val="24"/>
          <w:lang w:val="es-MX"/>
        </w:rPr>
        <w:t xml:space="preserve">Nuñez, R. (2020). Impacto del COVID-19 en el empleo en México: posibles escenarios y algunas recomendaciones de política económica. </w:t>
      </w:r>
      <w:r>
        <w:rPr>
          <w:rFonts w:asciiTheme="majorBidi" w:hAnsiTheme="majorBidi" w:cstheme="majorBidi"/>
          <w:sz w:val="24"/>
        </w:rPr>
        <w:t xml:space="preserve">Taken from: https://www.udlap.mx/covid19/files/articulos/impacto-del-COVID-Roy-Herd-Nunez-UDLAP.pdf. </w:t>
      </w:r>
    </w:p>
    <w:p w14:paraId="350B7A80"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Okun, A. (1962). Potential GNP: Its Measurement and Significance. </w:t>
      </w:r>
      <w:r>
        <w:rPr>
          <w:rFonts w:asciiTheme="majorBidi" w:hAnsiTheme="majorBidi" w:cstheme="majorBidi"/>
          <w:i/>
          <w:iCs/>
          <w:color w:val="222222"/>
          <w:sz w:val="24"/>
          <w:szCs w:val="24"/>
          <w:shd w:val="clear" w:color="auto" w:fill="FFFFFF"/>
        </w:rPr>
        <w:t>In Proceedings of the Business and Economic Statistics Section of the American Statistical Association. Alexandria, VA. American Statistical Association</w:t>
      </w:r>
      <w:r>
        <w:rPr>
          <w:rFonts w:asciiTheme="majorBidi" w:hAnsiTheme="majorBidi" w:cstheme="majorBidi"/>
          <w:color w:val="222222"/>
          <w:sz w:val="24"/>
          <w:szCs w:val="24"/>
          <w:shd w:val="clear" w:color="auto" w:fill="FFFFFF"/>
        </w:rPr>
        <w:t>, 89-104.</w:t>
      </w:r>
    </w:p>
    <w:p w14:paraId="14674CB4"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Producto Interno Bruto (PIB), años 1987 a 2019, INEGI. Taken from: https://www.inegi.org.mx/temas/pib/.</w:t>
      </w:r>
    </w:p>
    <w:p w14:paraId="59F664D0"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t xml:space="preserve">Ramírez, T. (2020). </w:t>
      </w:r>
      <w:r>
        <w:rPr>
          <w:rFonts w:asciiTheme="majorBidi" w:hAnsiTheme="majorBidi" w:cstheme="majorBidi"/>
          <w:color w:val="222222"/>
          <w:sz w:val="24"/>
          <w:szCs w:val="24"/>
          <w:shd w:val="clear" w:color="auto" w:fill="FFFFFF"/>
          <w:lang w:val="es-ES"/>
        </w:rPr>
        <w:t xml:space="preserve">Impactos del COVID-19 en el (des) empleo en México. </w:t>
      </w:r>
      <w:r>
        <w:rPr>
          <w:rFonts w:asciiTheme="majorBidi" w:hAnsiTheme="majorBidi" w:cstheme="majorBidi"/>
          <w:color w:val="222222"/>
          <w:sz w:val="24"/>
          <w:szCs w:val="24"/>
          <w:shd w:val="clear" w:color="auto" w:fill="FFFFFF"/>
        </w:rPr>
        <w:t>Taken from: http://ru.crim.unam.mx/handle/123456789/56.</w:t>
      </w:r>
    </w:p>
    <w:p w14:paraId="5C866E15"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Samaniego, N. (2020). El COVID-19 y el desplome del empleo en México/The COVID-19 and the Collapse of Employment in Mexico. </w:t>
      </w:r>
      <w:r>
        <w:rPr>
          <w:rFonts w:asciiTheme="majorBidi" w:hAnsiTheme="majorBidi" w:cstheme="majorBidi"/>
          <w:i/>
          <w:iCs/>
          <w:color w:val="222222"/>
          <w:sz w:val="24"/>
          <w:szCs w:val="24"/>
          <w:shd w:val="clear" w:color="auto" w:fill="FFFFFF"/>
        </w:rPr>
        <w:t>EconomíaUNAM</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17</w:t>
      </w:r>
      <w:r>
        <w:rPr>
          <w:rFonts w:asciiTheme="majorBidi" w:hAnsiTheme="majorBidi" w:cstheme="majorBidi"/>
          <w:color w:val="222222"/>
          <w:sz w:val="24"/>
          <w:szCs w:val="24"/>
          <w:shd w:val="clear" w:color="auto" w:fill="FFFFFF"/>
        </w:rPr>
        <w:t>(51). 306-314. https://doi.org/10.22201/fe.24488143e.2020.51.566</w:t>
      </w:r>
    </w:p>
    <w:p w14:paraId="2C39F266" w14:textId="77777777" w:rsidR="009B0B19" w:rsidRDefault="009B0B19" w:rsidP="009B0B19">
      <w:pPr>
        <w:spacing w:after="0" w:line="360" w:lineRule="auto"/>
        <w:ind w:left="284" w:hanging="284"/>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lang w:val="es-MX"/>
        </w:rPr>
        <w:lastRenderedPageBreak/>
        <w:t>Sampedro, J., &amp; Cortiña, R. (1969). </w:t>
      </w:r>
      <w:r>
        <w:rPr>
          <w:rFonts w:asciiTheme="majorBidi" w:hAnsiTheme="majorBidi" w:cstheme="majorBidi"/>
          <w:i/>
          <w:iCs/>
          <w:color w:val="222222"/>
          <w:sz w:val="24"/>
          <w:szCs w:val="24"/>
          <w:shd w:val="clear" w:color="auto" w:fill="FFFFFF"/>
          <w:lang w:val="es-MX"/>
        </w:rPr>
        <w:t>Estructura economica: theoría basica y estructura mundial.</w:t>
      </w:r>
      <w:r>
        <w:rPr>
          <w:rFonts w:asciiTheme="majorBidi" w:hAnsiTheme="majorBidi" w:cstheme="majorBidi"/>
          <w:color w:val="222222"/>
          <w:sz w:val="24"/>
          <w:szCs w:val="24"/>
          <w:shd w:val="clear" w:color="auto" w:fill="FFFFFF"/>
          <w:lang w:val="es-MX"/>
        </w:rPr>
        <w:t xml:space="preserve"> </w:t>
      </w:r>
      <w:r>
        <w:rPr>
          <w:rFonts w:asciiTheme="majorBidi" w:hAnsiTheme="majorBidi" w:cstheme="majorBidi"/>
          <w:color w:val="222222"/>
          <w:sz w:val="24"/>
          <w:szCs w:val="24"/>
          <w:shd w:val="clear" w:color="auto" w:fill="FFFFFF"/>
        </w:rPr>
        <w:t>Ediciones Ariel.</w:t>
      </w:r>
    </w:p>
    <w:p w14:paraId="4614F391" w14:textId="77777777" w:rsidR="009B0B19" w:rsidRDefault="009B0B19" w:rsidP="009B0B19">
      <w:pPr>
        <w:spacing w:after="0" w:line="360" w:lineRule="auto"/>
        <w:ind w:left="284" w:hanging="284"/>
        <w:rPr>
          <w:rFonts w:asciiTheme="majorBidi" w:hAnsiTheme="majorBidi" w:cstheme="majorBidi"/>
          <w:bCs/>
          <w:sz w:val="24"/>
          <w:szCs w:val="24"/>
        </w:rPr>
      </w:pPr>
      <w:r>
        <w:rPr>
          <w:rFonts w:asciiTheme="majorBidi" w:hAnsiTheme="majorBidi" w:cstheme="majorBidi"/>
          <w:bCs/>
          <w:sz w:val="24"/>
          <w:szCs w:val="24"/>
        </w:rPr>
        <w:t xml:space="preserve">Yilmazkuday, H. (2020). Unequal Unemployment Effects of COVID-19 and Monetary Policy across the U.S. States. </w:t>
      </w:r>
      <w:r>
        <w:rPr>
          <w:rFonts w:asciiTheme="majorBidi" w:hAnsiTheme="majorBidi" w:cstheme="majorBidi"/>
          <w:bCs/>
          <w:i/>
          <w:iCs/>
          <w:sz w:val="24"/>
          <w:szCs w:val="24"/>
        </w:rPr>
        <w:t>Journal of Behavioral Economics for Policy</w:t>
      </w:r>
      <w:r>
        <w:rPr>
          <w:rFonts w:asciiTheme="majorBidi" w:hAnsiTheme="majorBidi" w:cstheme="majorBidi"/>
          <w:bCs/>
          <w:sz w:val="24"/>
          <w:szCs w:val="24"/>
        </w:rPr>
        <w:t xml:space="preserve">, Forthcoming. </w:t>
      </w:r>
      <w:r>
        <w:rPr>
          <w:rFonts w:asciiTheme="majorBidi" w:hAnsiTheme="majorBidi" w:cstheme="majorBidi"/>
          <w:color w:val="222222"/>
          <w:sz w:val="24"/>
          <w:szCs w:val="24"/>
          <w:shd w:val="clear" w:color="auto" w:fill="FFFFFF"/>
        </w:rPr>
        <w:t>https://doi.org/</w:t>
      </w:r>
      <w:r>
        <w:rPr>
          <w:rFonts w:asciiTheme="majorBidi" w:hAnsiTheme="majorBidi" w:cstheme="majorBidi"/>
          <w:bCs/>
          <w:sz w:val="24"/>
          <w:szCs w:val="24"/>
        </w:rPr>
        <w:t>10.2139/ssrn.3559860</w:t>
      </w:r>
    </w:p>
    <w:p w14:paraId="2CD0EA94" w14:textId="77777777" w:rsidR="009B0B19" w:rsidRDefault="009B0B19" w:rsidP="009B0B19">
      <w:pPr>
        <w:spacing w:after="0" w:line="360" w:lineRule="auto"/>
        <w:ind w:left="284" w:hanging="284"/>
        <w:rPr>
          <w:rFonts w:asciiTheme="majorBidi" w:hAnsiTheme="majorBidi" w:cstheme="majorBidi"/>
          <w:sz w:val="24"/>
          <w:szCs w:val="24"/>
        </w:rPr>
      </w:pPr>
    </w:p>
    <w:p w14:paraId="65C3EEA1" w14:textId="77777777" w:rsidR="009B0B19" w:rsidRDefault="009B0B19" w:rsidP="009B0B19">
      <w:pPr>
        <w:spacing w:after="0" w:line="360" w:lineRule="auto"/>
        <w:ind w:hanging="709"/>
        <w:rPr>
          <w:rFonts w:asciiTheme="majorBidi" w:hAnsiTheme="majorBidi" w:cstheme="majorBidi"/>
          <w:b/>
          <w:bCs/>
          <w:sz w:val="24"/>
          <w:szCs w:val="24"/>
        </w:rPr>
      </w:pPr>
    </w:p>
    <w:p w14:paraId="28A67F8A" w14:textId="77777777" w:rsidR="009B0B19" w:rsidRDefault="009B0B19" w:rsidP="009B0B19">
      <w:pPr>
        <w:spacing w:after="0" w:line="360" w:lineRule="auto"/>
        <w:ind w:hanging="709"/>
        <w:rPr>
          <w:rFonts w:asciiTheme="majorBidi" w:hAnsiTheme="majorBidi"/>
          <w:sz w:val="24"/>
        </w:rPr>
      </w:pPr>
    </w:p>
    <w:p w14:paraId="16779DF0" w14:textId="77777777" w:rsidR="009B0B19" w:rsidRDefault="009B0B19" w:rsidP="009B0B19">
      <w:pPr>
        <w:spacing w:after="0" w:line="360" w:lineRule="auto"/>
        <w:ind w:hanging="709"/>
        <w:rPr>
          <w:rFonts w:asciiTheme="majorBidi" w:hAnsiTheme="majorBidi"/>
          <w:b/>
          <w:sz w:val="24"/>
        </w:rPr>
      </w:pPr>
    </w:p>
    <w:p w14:paraId="05F2BAA3" w14:textId="77777777" w:rsidR="009B0B19" w:rsidRDefault="009B0B19" w:rsidP="009B0B19">
      <w:pPr>
        <w:spacing w:after="0" w:line="360" w:lineRule="auto"/>
        <w:ind w:left="284" w:hanging="709"/>
        <w:rPr>
          <w:rFonts w:asciiTheme="majorBidi" w:hAnsiTheme="majorBidi"/>
          <w:sz w:val="24"/>
        </w:rPr>
      </w:pPr>
    </w:p>
    <w:p w14:paraId="4BEEA667" w14:textId="77777777" w:rsidR="009B0B19" w:rsidRDefault="009B0B19" w:rsidP="009B0B19">
      <w:pPr>
        <w:spacing w:line="360" w:lineRule="auto"/>
        <w:ind w:hanging="709"/>
      </w:pPr>
    </w:p>
    <w:p w14:paraId="6CBBE239" w14:textId="77777777" w:rsidR="009B0B19" w:rsidRPr="00BA3471" w:rsidRDefault="009B0B19" w:rsidP="00BA3471">
      <w:pPr>
        <w:spacing w:after="0" w:line="240" w:lineRule="auto"/>
        <w:rPr>
          <w:rFonts w:asciiTheme="majorBidi" w:hAnsiTheme="majorBidi" w:cstheme="majorBidi"/>
          <w:b/>
          <w:bCs/>
          <w:sz w:val="24"/>
          <w:szCs w:val="24"/>
          <w:lang w:val="es-MX"/>
        </w:rPr>
      </w:pPr>
    </w:p>
    <w:sectPr w:rsidR="009B0B19" w:rsidRPr="00BA3471">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A272" w14:textId="77777777" w:rsidR="00072B7C" w:rsidRDefault="00072B7C" w:rsidP="007F2EFE">
      <w:pPr>
        <w:spacing w:after="0" w:line="240" w:lineRule="auto"/>
      </w:pPr>
      <w:r>
        <w:separator/>
      </w:r>
    </w:p>
  </w:endnote>
  <w:endnote w:type="continuationSeparator" w:id="0">
    <w:p w14:paraId="27F33904" w14:textId="77777777" w:rsidR="00072B7C" w:rsidRDefault="00072B7C" w:rsidP="007F2EFE">
      <w:pPr>
        <w:spacing w:after="0" w:line="240" w:lineRule="auto"/>
      </w:pPr>
      <w:r>
        <w:continuationSeparator/>
      </w:r>
    </w:p>
  </w:endnote>
  <w:endnote w:type="continuationNotice" w:id="1">
    <w:p w14:paraId="6139B806" w14:textId="77777777" w:rsidR="00072B7C" w:rsidRDefault="00072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843010"/>
      <w:docPartObj>
        <w:docPartGallery w:val="Page Numbers (Bottom of Page)"/>
        <w:docPartUnique/>
      </w:docPartObj>
    </w:sdtPr>
    <w:sdtEndPr/>
    <w:sdtContent>
      <w:p w14:paraId="681C3964" w14:textId="13BA2E95" w:rsidR="00AE105E" w:rsidRPr="000430D8" w:rsidRDefault="00AE105E">
        <w:pPr>
          <w:pStyle w:val="Piedepgina"/>
          <w:jc w:val="center"/>
          <w:rPr>
            <w:rFonts w:ascii="Times New Roman" w:hAnsi="Times New Roman" w:cs="Times New Roman"/>
          </w:rPr>
        </w:pPr>
        <w:r w:rsidRPr="000430D8">
          <w:rPr>
            <w:rFonts w:ascii="Times New Roman" w:hAnsi="Times New Roman" w:cs="Times New Roman"/>
          </w:rPr>
          <w:fldChar w:fldCharType="begin"/>
        </w:r>
        <w:r w:rsidRPr="000430D8">
          <w:rPr>
            <w:rFonts w:ascii="Times New Roman" w:hAnsi="Times New Roman" w:cs="Times New Roman"/>
          </w:rPr>
          <w:instrText>PAGE   \* MERGEFORMAT</w:instrText>
        </w:r>
        <w:r w:rsidRPr="000430D8">
          <w:rPr>
            <w:rFonts w:ascii="Times New Roman" w:hAnsi="Times New Roman" w:cs="Times New Roman"/>
          </w:rPr>
          <w:fldChar w:fldCharType="separate"/>
        </w:r>
        <w:r w:rsidRPr="000430D8">
          <w:rPr>
            <w:rFonts w:ascii="Times New Roman" w:hAnsi="Times New Roman" w:cs="Times New Roman"/>
            <w:noProof/>
            <w:lang w:val="es-ES"/>
          </w:rPr>
          <w:t>2</w:t>
        </w:r>
        <w:r w:rsidRPr="000430D8">
          <w:rPr>
            <w:rFonts w:ascii="Times New Roman" w:hAnsi="Times New Roman" w:cs="Times New Roman"/>
          </w:rPr>
          <w:fldChar w:fldCharType="end"/>
        </w:r>
      </w:p>
    </w:sdtContent>
  </w:sdt>
  <w:p w14:paraId="52BDAA09" w14:textId="77777777" w:rsidR="00AE105E" w:rsidRDefault="00AE1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9EA6" w14:textId="77777777" w:rsidR="00072B7C" w:rsidRDefault="00072B7C" w:rsidP="007F2EFE">
      <w:pPr>
        <w:spacing w:after="0" w:line="240" w:lineRule="auto"/>
      </w:pPr>
      <w:r>
        <w:separator/>
      </w:r>
    </w:p>
  </w:footnote>
  <w:footnote w:type="continuationSeparator" w:id="0">
    <w:p w14:paraId="1D2FD0B4" w14:textId="77777777" w:rsidR="00072B7C" w:rsidRDefault="00072B7C" w:rsidP="007F2EFE">
      <w:pPr>
        <w:spacing w:after="0" w:line="240" w:lineRule="auto"/>
      </w:pPr>
      <w:r>
        <w:continuationSeparator/>
      </w:r>
    </w:p>
  </w:footnote>
  <w:footnote w:type="continuationNotice" w:id="1">
    <w:p w14:paraId="4478F3F7" w14:textId="77777777" w:rsidR="00072B7C" w:rsidRDefault="00072B7C">
      <w:pPr>
        <w:spacing w:after="0" w:line="240" w:lineRule="auto"/>
      </w:pPr>
    </w:p>
  </w:footnote>
  <w:footnote w:id="2">
    <w:p w14:paraId="1CE21F26" w14:textId="288E07C7" w:rsidR="00AE105E" w:rsidRPr="004C731D" w:rsidRDefault="00AE105E" w:rsidP="007F5640">
      <w:pPr>
        <w:pStyle w:val="Textonotapie"/>
        <w:rPr>
          <w:rFonts w:ascii="Times New Roman" w:hAnsi="Times New Roman"/>
        </w:rPr>
      </w:pPr>
      <w:r w:rsidRPr="005034F5">
        <w:rPr>
          <w:rStyle w:val="Refdenotaalpie"/>
          <w:rFonts w:ascii="Times New Roman" w:hAnsi="Times New Roman" w:cs="Times New Roman"/>
          <w:sz w:val="18"/>
          <w:szCs w:val="18"/>
        </w:rPr>
        <w:footnoteRef/>
      </w:r>
      <w:r w:rsidRPr="004C731D">
        <w:rPr>
          <w:rFonts w:ascii="Times New Roman" w:hAnsi="Times New Roman"/>
          <w:sz w:val="18"/>
        </w:rPr>
        <w:t xml:space="preserve"> Mexican National Institute of Statistics and Geography defines PEA as all persons aged 12 and over who</w:t>
      </w:r>
      <w:r>
        <w:rPr>
          <w:rFonts w:ascii="Times New Roman" w:hAnsi="Times New Roman" w:cs="Times New Roman"/>
          <w:sz w:val="18"/>
          <w:szCs w:val="18"/>
        </w:rPr>
        <w:t>,</w:t>
      </w:r>
      <w:r w:rsidRPr="005034F5">
        <w:rPr>
          <w:rFonts w:ascii="Times New Roman" w:hAnsi="Times New Roman" w:cs="Times New Roman"/>
          <w:sz w:val="18"/>
          <w:szCs w:val="18"/>
        </w:rPr>
        <w:t xml:space="preserve"> </w:t>
      </w:r>
      <w:r>
        <w:rPr>
          <w:rFonts w:ascii="Times New Roman" w:hAnsi="Times New Roman" w:cs="Times New Roman"/>
          <w:sz w:val="18"/>
          <w:szCs w:val="18"/>
        </w:rPr>
        <w:t>during</w:t>
      </w:r>
      <w:r w:rsidRPr="004C731D">
        <w:rPr>
          <w:rFonts w:ascii="Times New Roman" w:hAnsi="Times New Roman"/>
          <w:sz w:val="18"/>
        </w:rPr>
        <w:t xml:space="preserve"> the week of the survey</w:t>
      </w:r>
      <w:r>
        <w:rPr>
          <w:rFonts w:ascii="Times New Roman" w:hAnsi="Times New Roman" w:cs="Times New Roman"/>
          <w:sz w:val="18"/>
          <w:szCs w:val="18"/>
        </w:rPr>
        <w:t>,</w:t>
      </w:r>
      <w:r w:rsidRPr="004C731D">
        <w:rPr>
          <w:rFonts w:ascii="Times New Roman" w:hAnsi="Times New Roman"/>
          <w:sz w:val="18"/>
        </w:rPr>
        <w:t xml:space="preserve"> performed some type of economic activity or were part of the open unemployed population.</w:t>
      </w:r>
    </w:p>
  </w:footnote>
  <w:footnote w:id="3">
    <w:p w14:paraId="7D1D8FE3" w14:textId="01A0E368" w:rsidR="00AE105E" w:rsidRPr="00D10E3F" w:rsidRDefault="00AE105E" w:rsidP="007F2EFE">
      <w:pPr>
        <w:pStyle w:val="Textonotapie"/>
        <w:rPr>
          <w:rFonts w:ascii="Times New Roman" w:hAnsi="Times New Roman" w:cs="Times New Roman"/>
          <w:lang w:val="es-MX"/>
        </w:rPr>
      </w:pPr>
      <w:r w:rsidRPr="00E70105">
        <w:rPr>
          <w:rStyle w:val="Refdenotaalpie"/>
          <w:rFonts w:ascii="Times New Roman" w:hAnsi="Times New Roman" w:cs="Times New Roman"/>
        </w:rPr>
        <w:footnoteRef/>
      </w:r>
      <w:r w:rsidRPr="00D10E3F">
        <w:rPr>
          <w:rFonts w:ascii="Times New Roman" w:hAnsi="Times New Roman" w:cs="Times New Roman"/>
          <w:lang w:val="es-MX"/>
        </w:rPr>
        <w:t xml:space="preserve"> </w:t>
      </w:r>
      <w:r w:rsidRPr="00D10E3F">
        <w:rPr>
          <w:rFonts w:ascii="Times New Roman" w:hAnsi="Times New Roman" w:cs="Times New Roman"/>
          <w:bCs/>
          <w:lang w:val="es-MX"/>
        </w:rPr>
        <w:t>Instituto Mexicano del Seguro Social or</w:t>
      </w:r>
      <w:r w:rsidRPr="00D10E3F">
        <w:rPr>
          <w:rFonts w:ascii="Times New Roman" w:hAnsi="Times New Roman" w:cs="Times New Roman"/>
          <w:lang w:val="es-MX"/>
        </w:rPr>
        <w:t xml:space="preserve"> </w:t>
      </w:r>
      <w:r w:rsidRPr="00D10E3F">
        <w:rPr>
          <w:rFonts w:ascii="Times New Roman" w:hAnsi="Times New Roman" w:cs="Times New Roman"/>
          <w:bCs/>
          <w:lang w:val="es-MX"/>
        </w:rPr>
        <w:t>Instituto de Seguridad y Servicios Sociales de los Trabajadores del Estado.</w:t>
      </w:r>
    </w:p>
    <w:p w14:paraId="61D242AF" w14:textId="7225EF46" w:rsidR="00AE105E" w:rsidRPr="00D10E3F" w:rsidRDefault="00AE105E">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F55"/>
    <w:multiLevelType w:val="hybridMultilevel"/>
    <w:tmpl w:val="E5A21A1E"/>
    <w:lvl w:ilvl="0" w:tplc="65944692">
      <w:numFmt w:val="bullet"/>
      <w:lvlText w:val="·"/>
      <w:lvlJc w:val="left"/>
      <w:pPr>
        <w:ind w:left="720" w:hanging="360"/>
      </w:pPr>
      <w:rPr>
        <w:rFonts w:ascii="Times New Roman" w:eastAsia="Times New Roman" w:hAnsi="Times New Roman" w:cs="Times New Roman" w:hint="default"/>
        <w:sz w:val="2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306E54"/>
    <w:multiLevelType w:val="multilevel"/>
    <w:tmpl w:val="262A7EB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7144CC"/>
    <w:multiLevelType w:val="hybridMultilevel"/>
    <w:tmpl w:val="AE14A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4C788E"/>
    <w:multiLevelType w:val="hybridMultilevel"/>
    <w:tmpl w:val="40C8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7175A1"/>
    <w:multiLevelType w:val="hybridMultilevel"/>
    <w:tmpl w:val="C382EBA4"/>
    <w:lvl w:ilvl="0" w:tplc="4E88356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C447B5"/>
    <w:multiLevelType w:val="hybridMultilevel"/>
    <w:tmpl w:val="53B82704"/>
    <w:lvl w:ilvl="0" w:tplc="AA84211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36397C"/>
    <w:multiLevelType w:val="hybridMultilevel"/>
    <w:tmpl w:val="639A790E"/>
    <w:lvl w:ilvl="0" w:tplc="6730F9D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tzS3NDIyNzQ2sDBQ0lEKTi0uzszPAykwNK4FAIeN10QtAAAA"/>
  </w:docVars>
  <w:rsids>
    <w:rsidRoot w:val="00D47512"/>
    <w:rsid w:val="00017523"/>
    <w:rsid w:val="00020E14"/>
    <w:rsid w:val="000234CF"/>
    <w:rsid w:val="00026535"/>
    <w:rsid w:val="0003745B"/>
    <w:rsid w:val="00037AF7"/>
    <w:rsid w:val="0004068E"/>
    <w:rsid w:val="00041714"/>
    <w:rsid w:val="000430D8"/>
    <w:rsid w:val="00046A33"/>
    <w:rsid w:val="00050310"/>
    <w:rsid w:val="000529EE"/>
    <w:rsid w:val="00056F51"/>
    <w:rsid w:val="0006224D"/>
    <w:rsid w:val="00064A24"/>
    <w:rsid w:val="00067133"/>
    <w:rsid w:val="00070C01"/>
    <w:rsid w:val="00072B7C"/>
    <w:rsid w:val="000731B6"/>
    <w:rsid w:val="00077388"/>
    <w:rsid w:val="00081071"/>
    <w:rsid w:val="000820BA"/>
    <w:rsid w:val="000846BF"/>
    <w:rsid w:val="00084A29"/>
    <w:rsid w:val="000861BF"/>
    <w:rsid w:val="000A2459"/>
    <w:rsid w:val="000A2D40"/>
    <w:rsid w:val="000A3894"/>
    <w:rsid w:val="000A4A55"/>
    <w:rsid w:val="000A4DF1"/>
    <w:rsid w:val="000C06E6"/>
    <w:rsid w:val="000C1084"/>
    <w:rsid w:val="000C4C9A"/>
    <w:rsid w:val="000D11CD"/>
    <w:rsid w:val="000D5669"/>
    <w:rsid w:val="000D792D"/>
    <w:rsid w:val="000E1782"/>
    <w:rsid w:val="000E2A9A"/>
    <w:rsid w:val="000E55A4"/>
    <w:rsid w:val="000E7BE5"/>
    <w:rsid w:val="000F1064"/>
    <w:rsid w:val="000F4406"/>
    <w:rsid w:val="001069BB"/>
    <w:rsid w:val="00106D0D"/>
    <w:rsid w:val="0010705E"/>
    <w:rsid w:val="00110A0B"/>
    <w:rsid w:val="001142DE"/>
    <w:rsid w:val="00120FAC"/>
    <w:rsid w:val="0013774F"/>
    <w:rsid w:val="00147E97"/>
    <w:rsid w:val="00151BB9"/>
    <w:rsid w:val="0016142F"/>
    <w:rsid w:val="00162105"/>
    <w:rsid w:val="00164C67"/>
    <w:rsid w:val="0016652A"/>
    <w:rsid w:val="00182F69"/>
    <w:rsid w:val="0018456D"/>
    <w:rsid w:val="00185C04"/>
    <w:rsid w:val="00185D4A"/>
    <w:rsid w:val="0019031A"/>
    <w:rsid w:val="0019039D"/>
    <w:rsid w:val="001935A3"/>
    <w:rsid w:val="001A105A"/>
    <w:rsid w:val="001A6F3C"/>
    <w:rsid w:val="001A737E"/>
    <w:rsid w:val="001A7577"/>
    <w:rsid w:val="001A7636"/>
    <w:rsid w:val="001B6211"/>
    <w:rsid w:val="001C189A"/>
    <w:rsid w:val="001C2ABD"/>
    <w:rsid w:val="001C3343"/>
    <w:rsid w:val="001C58DD"/>
    <w:rsid w:val="001C638E"/>
    <w:rsid w:val="001D05A8"/>
    <w:rsid w:val="001D0EB6"/>
    <w:rsid w:val="001D1E74"/>
    <w:rsid w:val="001D3321"/>
    <w:rsid w:val="001D5DD6"/>
    <w:rsid w:val="001D6D2E"/>
    <w:rsid w:val="001E0B8B"/>
    <w:rsid w:val="001E5ADF"/>
    <w:rsid w:val="001F767B"/>
    <w:rsid w:val="001F7F39"/>
    <w:rsid w:val="00205DA6"/>
    <w:rsid w:val="00211A4A"/>
    <w:rsid w:val="00211B0D"/>
    <w:rsid w:val="00213241"/>
    <w:rsid w:val="002132E6"/>
    <w:rsid w:val="002223ED"/>
    <w:rsid w:val="00230FFF"/>
    <w:rsid w:val="00237C55"/>
    <w:rsid w:val="00237D6A"/>
    <w:rsid w:val="00244256"/>
    <w:rsid w:val="0025261E"/>
    <w:rsid w:val="00256174"/>
    <w:rsid w:val="002569ED"/>
    <w:rsid w:val="00270E83"/>
    <w:rsid w:val="0027106D"/>
    <w:rsid w:val="00277358"/>
    <w:rsid w:val="00280C70"/>
    <w:rsid w:val="0028183C"/>
    <w:rsid w:val="00286B57"/>
    <w:rsid w:val="0028779D"/>
    <w:rsid w:val="00294B9C"/>
    <w:rsid w:val="002A0588"/>
    <w:rsid w:val="002A3582"/>
    <w:rsid w:val="002A6E47"/>
    <w:rsid w:val="002C1EA1"/>
    <w:rsid w:val="002C56A3"/>
    <w:rsid w:val="002C62AE"/>
    <w:rsid w:val="002D2E99"/>
    <w:rsid w:val="002D360D"/>
    <w:rsid w:val="002E08C1"/>
    <w:rsid w:val="002E13D1"/>
    <w:rsid w:val="002E5FFB"/>
    <w:rsid w:val="002F1184"/>
    <w:rsid w:val="002F284E"/>
    <w:rsid w:val="003043FA"/>
    <w:rsid w:val="0031056D"/>
    <w:rsid w:val="00315038"/>
    <w:rsid w:val="00317BF0"/>
    <w:rsid w:val="003224C9"/>
    <w:rsid w:val="00333F31"/>
    <w:rsid w:val="00337C37"/>
    <w:rsid w:val="00341148"/>
    <w:rsid w:val="00350932"/>
    <w:rsid w:val="00353442"/>
    <w:rsid w:val="003536B8"/>
    <w:rsid w:val="003672F8"/>
    <w:rsid w:val="0037078F"/>
    <w:rsid w:val="0037178B"/>
    <w:rsid w:val="003741BF"/>
    <w:rsid w:val="00374CA5"/>
    <w:rsid w:val="0038232E"/>
    <w:rsid w:val="00385D87"/>
    <w:rsid w:val="003933D7"/>
    <w:rsid w:val="003A44E4"/>
    <w:rsid w:val="003B6591"/>
    <w:rsid w:val="003B7A00"/>
    <w:rsid w:val="003C0228"/>
    <w:rsid w:val="003D2BFC"/>
    <w:rsid w:val="003D42A9"/>
    <w:rsid w:val="003D5846"/>
    <w:rsid w:val="003D5EE0"/>
    <w:rsid w:val="003D6008"/>
    <w:rsid w:val="003E0AA4"/>
    <w:rsid w:val="003E4A46"/>
    <w:rsid w:val="003F0B61"/>
    <w:rsid w:val="003F2375"/>
    <w:rsid w:val="003F4253"/>
    <w:rsid w:val="003F6EF4"/>
    <w:rsid w:val="003F7C84"/>
    <w:rsid w:val="00401D72"/>
    <w:rsid w:val="00401E8D"/>
    <w:rsid w:val="00405CB7"/>
    <w:rsid w:val="004125DE"/>
    <w:rsid w:val="00413DCD"/>
    <w:rsid w:val="0042145D"/>
    <w:rsid w:val="00430F7A"/>
    <w:rsid w:val="004367C6"/>
    <w:rsid w:val="0044250F"/>
    <w:rsid w:val="0044529C"/>
    <w:rsid w:val="00451EF9"/>
    <w:rsid w:val="00454581"/>
    <w:rsid w:val="0046050A"/>
    <w:rsid w:val="00465FCF"/>
    <w:rsid w:val="00467FCD"/>
    <w:rsid w:val="004704A1"/>
    <w:rsid w:val="0047091F"/>
    <w:rsid w:val="00475C96"/>
    <w:rsid w:val="0048206E"/>
    <w:rsid w:val="00482625"/>
    <w:rsid w:val="004849E7"/>
    <w:rsid w:val="00486447"/>
    <w:rsid w:val="0049045F"/>
    <w:rsid w:val="00490ED0"/>
    <w:rsid w:val="004932B4"/>
    <w:rsid w:val="004947DA"/>
    <w:rsid w:val="00497DC6"/>
    <w:rsid w:val="004A21D1"/>
    <w:rsid w:val="004A54C0"/>
    <w:rsid w:val="004A7601"/>
    <w:rsid w:val="004B1BBD"/>
    <w:rsid w:val="004B5968"/>
    <w:rsid w:val="004C731D"/>
    <w:rsid w:val="004D2D34"/>
    <w:rsid w:val="004D4C32"/>
    <w:rsid w:val="004E14EA"/>
    <w:rsid w:val="004E2B44"/>
    <w:rsid w:val="004E405B"/>
    <w:rsid w:val="005034F5"/>
    <w:rsid w:val="005050FA"/>
    <w:rsid w:val="00520E81"/>
    <w:rsid w:val="00525ED3"/>
    <w:rsid w:val="00534D8F"/>
    <w:rsid w:val="00535CFC"/>
    <w:rsid w:val="0054373A"/>
    <w:rsid w:val="00551300"/>
    <w:rsid w:val="005558D4"/>
    <w:rsid w:val="00572B3F"/>
    <w:rsid w:val="00582A6C"/>
    <w:rsid w:val="00583C6F"/>
    <w:rsid w:val="00584253"/>
    <w:rsid w:val="005857C1"/>
    <w:rsid w:val="00585C5E"/>
    <w:rsid w:val="005912A1"/>
    <w:rsid w:val="00594760"/>
    <w:rsid w:val="0059526F"/>
    <w:rsid w:val="00595725"/>
    <w:rsid w:val="00595F08"/>
    <w:rsid w:val="00597BF1"/>
    <w:rsid w:val="005A00F4"/>
    <w:rsid w:val="005A1624"/>
    <w:rsid w:val="005A5728"/>
    <w:rsid w:val="005A5CDB"/>
    <w:rsid w:val="005A75B1"/>
    <w:rsid w:val="005C6071"/>
    <w:rsid w:val="005D11F4"/>
    <w:rsid w:val="005D1730"/>
    <w:rsid w:val="005D485C"/>
    <w:rsid w:val="005D76AD"/>
    <w:rsid w:val="005E01AB"/>
    <w:rsid w:val="005E44DB"/>
    <w:rsid w:val="005E5F71"/>
    <w:rsid w:val="005F3DCA"/>
    <w:rsid w:val="005F53F5"/>
    <w:rsid w:val="0060243D"/>
    <w:rsid w:val="00603EA7"/>
    <w:rsid w:val="006049E2"/>
    <w:rsid w:val="006116C5"/>
    <w:rsid w:val="00613E23"/>
    <w:rsid w:val="00614221"/>
    <w:rsid w:val="0061537B"/>
    <w:rsid w:val="006160E6"/>
    <w:rsid w:val="00635A91"/>
    <w:rsid w:val="00635BD4"/>
    <w:rsid w:val="00653A19"/>
    <w:rsid w:val="00656DF5"/>
    <w:rsid w:val="00666047"/>
    <w:rsid w:val="00672176"/>
    <w:rsid w:val="00676B57"/>
    <w:rsid w:val="006806EB"/>
    <w:rsid w:val="00683628"/>
    <w:rsid w:val="00685626"/>
    <w:rsid w:val="00690D1D"/>
    <w:rsid w:val="00694F1C"/>
    <w:rsid w:val="00696248"/>
    <w:rsid w:val="006964C5"/>
    <w:rsid w:val="006A55B4"/>
    <w:rsid w:val="006A7981"/>
    <w:rsid w:val="006B1796"/>
    <w:rsid w:val="006C20C4"/>
    <w:rsid w:val="006D1F96"/>
    <w:rsid w:val="006D2292"/>
    <w:rsid w:val="006D2396"/>
    <w:rsid w:val="006E196E"/>
    <w:rsid w:val="006E1FD0"/>
    <w:rsid w:val="006F1C7D"/>
    <w:rsid w:val="006F2F57"/>
    <w:rsid w:val="00703CC2"/>
    <w:rsid w:val="0072671B"/>
    <w:rsid w:val="00732607"/>
    <w:rsid w:val="007375C6"/>
    <w:rsid w:val="00756D69"/>
    <w:rsid w:val="00757705"/>
    <w:rsid w:val="007648BB"/>
    <w:rsid w:val="00764E40"/>
    <w:rsid w:val="007659D0"/>
    <w:rsid w:val="0077574D"/>
    <w:rsid w:val="00782FC5"/>
    <w:rsid w:val="007861B2"/>
    <w:rsid w:val="007909E5"/>
    <w:rsid w:val="007B6BA5"/>
    <w:rsid w:val="007B6FB7"/>
    <w:rsid w:val="007C0C15"/>
    <w:rsid w:val="007C3E3C"/>
    <w:rsid w:val="007D630B"/>
    <w:rsid w:val="007D6709"/>
    <w:rsid w:val="007E637A"/>
    <w:rsid w:val="007F2EFE"/>
    <w:rsid w:val="007F486E"/>
    <w:rsid w:val="007F5640"/>
    <w:rsid w:val="007F682B"/>
    <w:rsid w:val="007F7867"/>
    <w:rsid w:val="0080040E"/>
    <w:rsid w:val="00801343"/>
    <w:rsid w:val="00806397"/>
    <w:rsid w:val="008119AE"/>
    <w:rsid w:val="00813B71"/>
    <w:rsid w:val="00813F8D"/>
    <w:rsid w:val="008232EC"/>
    <w:rsid w:val="00827611"/>
    <w:rsid w:val="00834F02"/>
    <w:rsid w:val="008401AD"/>
    <w:rsid w:val="00840BC2"/>
    <w:rsid w:val="0084590D"/>
    <w:rsid w:val="0087098D"/>
    <w:rsid w:val="00884B23"/>
    <w:rsid w:val="00894832"/>
    <w:rsid w:val="00895280"/>
    <w:rsid w:val="008A0A4A"/>
    <w:rsid w:val="008A0DB4"/>
    <w:rsid w:val="008A11E6"/>
    <w:rsid w:val="008B329F"/>
    <w:rsid w:val="008D1C0A"/>
    <w:rsid w:val="008D3903"/>
    <w:rsid w:val="008D6B15"/>
    <w:rsid w:val="008E7169"/>
    <w:rsid w:val="008F298D"/>
    <w:rsid w:val="008F5A09"/>
    <w:rsid w:val="00900035"/>
    <w:rsid w:val="00907513"/>
    <w:rsid w:val="00911AC0"/>
    <w:rsid w:val="00916CED"/>
    <w:rsid w:val="00922E6B"/>
    <w:rsid w:val="00925006"/>
    <w:rsid w:val="0092708D"/>
    <w:rsid w:val="00930EFD"/>
    <w:rsid w:val="00941A57"/>
    <w:rsid w:val="009431B9"/>
    <w:rsid w:val="00946E18"/>
    <w:rsid w:val="009553AB"/>
    <w:rsid w:val="00962CD1"/>
    <w:rsid w:val="00962F88"/>
    <w:rsid w:val="00973375"/>
    <w:rsid w:val="00975320"/>
    <w:rsid w:val="009764D6"/>
    <w:rsid w:val="00987150"/>
    <w:rsid w:val="00987382"/>
    <w:rsid w:val="0099612A"/>
    <w:rsid w:val="00996544"/>
    <w:rsid w:val="009A5992"/>
    <w:rsid w:val="009B0B19"/>
    <w:rsid w:val="009B1A07"/>
    <w:rsid w:val="009B66E2"/>
    <w:rsid w:val="009C06C0"/>
    <w:rsid w:val="009C7604"/>
    <w:rsid w:val="009D43C7"/>
    <w:rsid w:val="009D7EA3"/>
    <w:rsid w:val="009E63E1"/>
    <w:rsid w:val="009F2996"/>
    <w:rsid w:val="009F5EBE"/>
    <w:rsid w:val="00A0047C"/>
    <w:rsid w:val="00A04067"/>
    <w:rsid w:val="00A045E6"/>
    <w:rsid w:val="00A12478"/>
    <w:rsid w:val="00A13D77"/>
    <w:rsid w:val="00A25C94"/>
    <w:rsid w:val="00A33C2A"/>
    <w:rsid w:val="00A4297F"/>
    <w:rsid w:val="00A43025"/>
    <w:rsid w:val="00A44892"/>
    <w:rsid w:val="00A46182"/>
    <w:rsid w:val="00A53C96"/>
    <w:rsid w:val="00A565EB"/>
    <w:rsid w:val="00A67E28"/>
    <w:rsid w:val="00A707BF"/>
    <w:rsid w:val="00A70F9D"/>
    <w:rsid w:val="00A74485"/>
    <w:rsid w:val="00A751F9"/>
    <w:rsid w:val="00A8001F"/>
    <w:rsid w:val="00A811E9"/>
    <w:rsid w:val="00A8678A"/>
    <w:rsid w:val="00AA1CA4"/>
    <w:rsid w:val="00AA1FC4"/>
    <w:rsid w:val="00AA35B5"/>
    <w:rsid w:val="00AA53EC"/>
    <w:rsid w:val="00AB126B"/>
    <w:rsid w:val="00AB5FD0"/>
    <w:rsid w:val="00AB759F"/>
    <w:rsid w:val="00AC75A2"/>
    <w:rsid w:val="00AE105E"/>
    <w:rsid w:val="00AE12DD"/>
    <w:rsid w:val="00AE45D1"/>
    <w:rsid w:val="00AE5655"/>
    <w:rsid w:val="00AE66D7"/>
    <w:rsid w:val="00AE79C6"/>
    <w:rsid w:val="00AF2430"/>
    <w:rsid w:val="00AF4A07"/>
    <w:rsid w:val="00AF69FF"/>
    <w:rsid w:val="00B06543"/>
    <w:rsid w:val="00B17EE0"/>
    <w:rsid w:val="00B2288D"/>
    <w:rsid w:val="00B37F0E"/>
    <w:rsid w:val="00B43EC9"/>
    <w:rsid w:val="00B44DAD"/>
    <w:rsid w:val="00B45978"/>
    <w:rsid w:val="00B45BFC"/>
    <w:rsid w:val="00B65C92"/>
    <w:rsid w:val="00B6607B"/>
    <w:rsid w:val="00B835AC"/>
    <w:rsid w:val="00B86E22"/>
    <w:rsid w:val="00B875CC"/>
    <w:rsid w:val="00B97E98"/>
    <w:rsid w:val="00BA3471"/>
    <w:rsid w:val="00BA373D"/>
    <w:rsid w:val="00BB00DC"/>
    <w:rsid w:val="00BB0112"/>
    <w:rsid w:val="00BB0D62"/>
    <w:rsid w:val="00BB0DFA"/>
    <w:rsid w:val="00BB3914"/>
    <w:rsid w:val="00BB74DA"/>
    <w:rsid w:val="00BC029F"/>
    <w:rsid w:val="00BC7E65"/>
    <w:rsid w:val="00BD23D7"/>
    <w:rsid w:val="00BD7A9B"/>
    <w:rsid w:val="00BE052D"/>
    <w:rsid w:val="00BE4F37"/>
    <w:rsid w:val="00BF145E"/>
    <w:rsid w:val="00BF48DE"/>
    <w:rsid w:val="00C0092B"/>
    <w:rsid w:val="00C13C97"/>
    <w:rsid w:val="00C16E0B"/>
    <w:rsid w:val="00C33673"/>
    <w:rsid w:val="00C34EF7"/>
    <w:rsid w:val="00C44071"/>
    <w:rsid w:val="00C55FFB"/>
    <w:rsid w:val="00C56D67"/>
    <w:rsid w:val="00C579D5"/>
    <w:rsid w:val="00C61753"/>
    <w:rsid w:val="00C721E0"/>
    <w:rsid w:val="00C73D36"/>
    <w:rsid w:val="00C83A77"/>
    <w:rsid w:val="00C84FE1"/>
    <w:rsid w:val="00C86615"/>
    <w:rsid w:val="00C867FB"/>
    <w:rsid w:val="00C875AF"/>
    <w:rsid w:val="00CA36CD"/>
    <w:rsid w:val="00CA3A73"/>
    <w:rsid w:val="00CA63F4"/>
    <w:rsid w:val="00CB48D2"/>
    <w:rsid w:val="00CC48AF"/>
    <w:rsid w:val="00CD03E9"/>
    <w:rsid w:val="00CD51CF"/>
    <w:rsid w:val="00CE0386"/>
    <w:rsid w:val="00CE1CBF"/>
    <w:rsid w:val="00D10DEE"/>
    <w:rsid w:val="00D10E3F"/>
    <w:rsid w:val="00D202D7"/>
    <w:rsid w:val="00D23BA2"/>
    <w:rsid w:val="00D249D4"/>
    <w:rsid w:val="00D25B33"/>
    <w:rsid w:val="00D2724A"/>
    <w:rsid w:val="00D31D9E"/>
    <w:rsid w:val="00D3416A"/>
    <w:rsid w:val="00D34D3E"/>
    <w:rsid w:val="00D34F4C"/>
    <w:rsid w:val="00D36E3A"/>
    <w:rsid w:val="00D371D0"/>
    <w:rsid w:val="00D425FF"/>
    <w:rsid w:val="00D431DE"/>
    <w:rsid w:val="00D47512"/>
    <w:rsid w:val="00D60828"/>
    <w:rsid w:val="00D673BC"/>
    <w:rsid w:val="00D709E7"/>
    <w:rsid w:val="00D75CAD"/>
    <w:rsid w:val="00D77502"/>
    <w:rsid w:val="00D80397"/>
    <w:rsid w:val="00D82189"/>
    <w:rsid w:val="00D93DB3"/>
    <w:rsid w:val="00DA19CF"/>
    <w:rsid w:val="00DB07A0"/>
    <w:rsid w:val="00DB131F"/>
    <w:rsid w:val="00DB2677"/>
    <w:rsid w:val="00DB4EED"/>
    <w:rsid w:val="00DB5EB8"/>
    <w:rsid w:val="00DB7DBB"/>
    <w:rsid w:val="00DC0AC8"/>
    <w:rsid w:val="00DC3F49"/>
    <w:rsid w:val="00DC4C80"/>
    <w:rsid w:val="00DC6EDA"/>
    <w:rsid w:val="00DD0EE4"/>
    <w:rsid w:val="00DD2E76"/>
    <w:rsid w:val="00DD42E0"/>
    <w:rsid w:val="00DD7360"/>
    <w:rsid w:val="00DE372E"/>
    <w:rsid w:val="00DE3751"/>
    <w:rsid w:val="00E03903"/>
    <w:rsid w:val="00E060B3"/>
    <w:rsid w:val="00E0745F"/>
    <w:rsid w:val="00E10D70"/>
    <w:rsid w:val="00E25433"/>
    <w:rsid w:val="00E25F19"/>
    <w:rsid w:val="00E3121F"/>
    <w:rsid w:val="00E34906"/>
    <w:rsid w:val="00E4736F"/>
    <w:rsid w:val="00E61F4D"/>
    <w:rsid w:val="00E62ACF"/>
    <w:rsid w:val="00E632BB"/>
    <w:rsid w:val="00E662C5"/>
    <w:rsid w:val="00E66C5D"/>
    <w:rsid w:val="00E70105"/>
    <w:rsid w:val="00E7279D"/>
    <w:rsid w:val="00E73CF9"/>
    <w:rsid w:val="00E7522C"/>
    <w:rsid w:val="00E81572"/>
    <w:rsid w:val="00E8429C"/>
    <w:rsid w:val="00E846DE"/>
    <w:rsid w:val="00E86912"/>
    <w:rsid w:val="00E97352"/>
    <w:rsid w:val="00EA223F"/>
    <w:rsid w:val="00EA61AA"/>
    <w:rsid w:val="00EA6B52"/>
    <w:rsid w:val="00EA775C"/>
    <w:rsid w:val="00EB1616"/>
    <w:rsid w:val="00EC1C56"/>
    <w:rsid w:val="00EC2965"/>
    <w:rsid w:val="00EC3F4A"/>
    <w:rsid w:val="00EC7A6A"/>
    <w:rsid w:val="00ED1524"/>
    <w:rsid w:val="00ED1F59"/>
    <w:rsid w:val="00ED2FD7"/>
    <w:rsid w:val="00ED55D7"/>
    <w:rsid w:val="00EE079A"/>
    <w:rsid w:val="00EE5749"/>
    <w:rsid w:val="00EE5793"/>
    <w:rsid w:val="00EE5973"/>
    <w:rsid w:val="00F00A3B"/>
    <w:rsid w:val="00F018C2"/>
    <w:rsid w:val="00F03E1F"/>
    <w:rsid w:val="00F06B88"/>
    <w:rsid w:val="00F076FA"/>
    <w:rsid w:val="00F10AF5"/>
    <w:rsid w:val="00F16513"/>
    <w:rsid w:val="00F23493"/>
    <w:rsid w:val="00F24F3B"/>
    <w:rsid w:val="00F26A57"/>
    <w:rsid w:val="00F3103F"/>
    <w:rsid w:val="00F3787B"/>
    <w:rsid w:val="00F45F2F"/>
    <w:rsid w:val="00F45FF4"/>
    <w:rsid w:val="00F53659"/>
    <w:rsid w:val="00F5690D"/>
    <w:rsid w:val="00F602ED"/>
    <w:rsid w:val="00F605B8"/>
    <w:rsid w:val="00F62DD8"/>
    <w:rsid w:val="00F74930"/>
    <w:rsid w:val="00F97E57"/>
    <w:rsid w:val="00FA1AE7"/>
    <w:rsid w:val="00FA1E3E"/>
    <w:rsid w:val="00FA397D"/>
    <w:rsid w:val="00FB44F4"/>
    <w:rsid w:val="00FC1561"/>
    <w:rsid w:val="00FC3FF0"/>
    <w:rsid w:val="00FC45B1"/>
    <w:rsid w:val="00FC5526"/>
    <w:rsid w:val="00FC57C4"/>
    <w:rsid w:val="00FC5DAA"/>
    <w:rsid w:val="00FE18A9"/>
    <w:rsid w:val="00FE3239"/>
    <w:rsid w:val="00FF5F1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D9AF"/>
  <w15:chartTrackingRefBased/>
  <w15:docId w15:val="{44B6376D-ECB9-4782-87F9-E0D6B34C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512"/>
    <w:pPr>
      <w:ind w:left="720"/>
      <w:contextualSpacing/>
    </w:pPr>
  </w:style>
  <w:style w:type="paragraph" w:styleId="NormalWeb">
    <w:name w:val="Normal (Web)"/>
    <w:basedOn w:val="Normal"/>
    <w:uiPriority w:val="99"/>
    <w:unhideWhenUsed/>
    <w:rsid w:val="00D475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7F2EFE"/>
    <w:rPr>
      <w:sz w:val="16"/>
      <w:szCs w:val="16"/>
    </w:rPr>
  </w:style>
  <w:style w:type="paragraph" w:styleId="Textocomentario">
    <w:name w:val="annotation text"/>
    <w:basedOn w:val="Normal"/>
    <w:link w:val="TextocomentarioCar"/>
    <w:uiPriority w:val="99"/>
    <w:semiHidden/>
    <w:unhideWhenUsed/>
    <w:rsid w:val="007F2E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EFE"/>
    <w:rPr>
      <w:sz w:val="20"/>
      <w:szCs w:val="20"/>
    </w:rPr>
  </w:style>
  <w:style w:type="paragraph" w:styleId="Asuntodelcomentario">
    <w:name w:val="annotation subject"/>
    <w:basedOn w:val="Textocomentario"/>
    <w:next w:val="Textocomentario"/>
    <w:link w:val="AsuntodelcomentarioCar"/>
    <w:uiPriority w:val="99"/>
    <w:semiHidden/>
    <w:unhideWhenUsed/>
    <w:rsid w:val="007F2EFE"/>
    <w:rPr>
      <w:b/>
      <w:bCs/>
    </w:rPr>
  </w:style>
  <w:style w:type="character" w:customStyle="1" w:styleId="AsuntodelcomentarioCar">
    <w:name w:val="Asunto del comentario Car"/>
    <w:basedOn w:val="TextocomentarioCar"/>
    <w:link w:val="Asuntodelcomentario"/>
    <w:uiPriority w:val="99"/>
    <w:semiHidden/>
    <w:rsid w:val="007F2EFE"/>
    <w:rPr>
      <w:b/>
      <w:bCs/>
      <w:sz w:val="20"/>
      <w:szCs w:val="20"/>
    </w:rPr>
  </w:style>
  <w:style w:type="paragraph" w:styleId="Textonotapie">
    <w:name w:val="footnote text"/>
    <w:basedOn w:val="Normal"/>
    <w:link w:val="TextonotapieCar"/>
    <w:uiPriority w:val="99"/>
    <w:semiHidden/>
    <w:unhideWhenUsed/>
    <w:rsid w:val="007F2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EFE"/>
    <w:rPr>
      <w:sz w:val="20"/>
      <w:szCs w:val="20"/>
    </w:rPr>
  </w:style>
  <w:style w:type="character" w:styleId="Refdenotaalpie">
    <w:name w:val="footnote reference"/>
    <w:basedOn w:val="Fuentedeprrafopredeter"/>
    <w:uiPriority w:val="99"/>
    <w:semiHidden/>
    <w:unhideWhenUsed/>
    <w:rsid w:val="007F2EFE"/>
    <w:rPr>
      <w:vertAlign w:val="superscript"/>
    </w:rPr>
  </w:style>
  <w:style w:type="character" w:styleId="Hipervnculo">
    <w:name w:val="Hyperlink"/>
    <w:basedOn w:val="Fuentedeprrafopredeter"/>
    <w:uiPriority w:val="99"/>
    <w:unhideWhenUsed/>
    <w:rsid w:val="00764E40"/>
    <w:rPr>
      <w:color w:val="0563C1" w:themeColor="hyperlink"/>
      <w:u w:val="single"/>
    </w:rPr>
  </w:style>
  <w:style w:type="table" w:styleId="Tablaconcuadrcula">
    <w:name w:val="Table Grid"/>
    <w:basedOn w:val="Tablanormal"/>
    <w:uiPriority w:val="59"/>
    <w:rsid w:val="0023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034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4F5"/>
  </w:style>
  <w:style w:type="paragraph" w:styleId="Piedepgina">
    <w:name w:val="footer"/>
    <w:basedOn w:val="Normal"/>
    <w:link w:val="PiedepginaCar"/>
    <w:uiPriority w:val="99"/>
    <w:unhideWhenUsed/>
    <w:rsid w:val="005034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4F5"/>
  </w:style>
  <w:style w:type="paragraph" w:styleId="Textodeglobo">
    <w:name w:val="Balloon Text"/>
    <w:basedOn w:val="Normal"/>
    <w:link w:val="TextodegloboCar"/>
    <w:uiPriority w:val="99"/>
    <w:semiHidden/>
    <w:unhideWhenUsed/>
    <w:rsid w:val="00E75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22C"/>
    <w:rPr>
      <w:rFonts w:ascii="Segoe UI" w:hAnsi="Segoe UI" w:cs="Segoe UI"/>
      <w:sz w:val="18"/>
      <w:szCs w:val="18"/>
    </w:rPr>
  </w:style>
  <w:style w:type="character" w:styleId="Textodelmarcadordeposicin">
    <w:name w:val="Placeholder Text"/>
    <w:basedOn w:val="Fuentedeprrafopredeter"/>
    <w:uiPriority w:val="99"/>
    <w:semiHidden/>
    <w:rsid w:val="002132E6"/>
    <w:rPr>
      <w:color w:val="808080"/>
    </w:rPr>
  </w:style>
  <w:style w:type="character" w:styleId="Mencinsinresolver">
    <w:name w:val="Unresolved Mention"/>
    <w:basedOn w:val="Fuentedeprrafopredeter"/>
    <w:uiPriority w:val="99"/>
    <w:semiHidden/>
    <w:unhideWhenUsed/>
    <w:rsid w:val="0023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2865">
      <w:bodyDiv w:val="1"/>
      <w:marLeft w:val="0"/>
      <w:marRight w:val="0"/>
      <w:marTop w:val="0"/>
      <w:marBottom w:val="0"/>
      <w:divBdr>
        <w:top w:val="none" w:sz="0" w:space="0" w:color="auto"/>
        <w:left w:val="none" w:sz="0" w:space="0" w:color="auto"/>
        <w:bottom w:val="none" w:sz="0" w:space="0" w:color="auto"/>
        <w:right w:val="none" w:sz="0" w:space="0" w:color="auto"/>
      </w:divBdr>
    </w:div>
    <w:div w:id="552741721">
      <w:bodyDiv w:val="1"/>
      <w:marLeft w:val="0"/>
      <w:marRight w:val="0"/>
      <w:marTop w:val="0"/>
      <w:marBottom w:val="0"/>
      <w:divBdr>
        <w:top w:val="none" w:sz="0" w:space="0" w:color="auto"/>
        <w:left w:val="none" w:sz="0" w:space="0" w:color="auto"/>
        <w:bottom w:val="none" w:sz="0" w:space="0" w:color="auto"/>
        <w:right w:val="none" w:sz="0" w:space="0" w:color="auto"/>
      </w:divBdr>
    </w:div>
    <w:div w:id="554778091">
      <w:bodyDiv w:val="1"/>
      <w:marLeft w:val="0"/>
      <w:marRight w:val="0"/>
      <w:marTop w:val="0"/>
      <w:marBottom w:val="0"/>
      <w:divBdr>
        <w:top w:val="none" w:sz="0" w:space="0" w:color="auto"/>
        <w:left w:val="none" w:sz="0" w:space="0" w:color="auto"/>
        <w:bottom w:val="none" w:sz="0" w:space="0" w:color="auto"/>
        <w:right w:val="none" w:sz="0" w:space="0" w:color="auto"/>
      </w:divBdr>
    </w:div>
    <w:div w:id="616838763">
      <w:bodyDiv w:val="1"/>
      <w:marLeft w:val="0"/>
      <w:marRight w:val="0"/>
      <w:marTop w:val="0"/>
      <w:marBottom w:val="0"/>
      <w:divBdr>
        <w:top w:val="none" w:sz="0" w:space="0" w:color="auto"/>
        <w:left w:val="none" w:sz="0" w:space="0" w:color="auto"/>
        <w:bottom w:val="none" w:sz="0" w:space="0" w:color="auto"/>
        <w:right w:val="none" w:sz="0" w:space="0" w:color="auto"/>
      </w:divBdr>
    </w:div>
    <w:div w:id="1012297114">
      <w:bodyDiv w:val="1"/>
      <w:marLeft w:val="0"/>
      <w:marRight w:val="0"/>
      <w:marTop w:val="0"/>
      <w:marBottom w:val="0"/>
      <w:divBdr>
        <w:top w:val="none" w:sz="0" w:space="0" w:color="auto"/>
        <w:left w:val="none" w:sz="0" w:space="0" w:color="auto"/>
        <w:bottom w:val="none" w:sz="0" w:space="0" w:color="auto"/>
        <w:right w:val="none" w:sz="0" w:space="0" w:color="auto"/>
      </w:divBdr>
    </w:div>
    <w:div w:id="1209488187">
      <w:bodyDiv w:val="1"/>
      <w:marLeft w:val="0"/>
      <w:marRight w:val="0"/>
      <w:marTop w:val="0"/>
      <w:marBottom w:val="0"/>
      <w:divBdr>
        <w:top w:val="none" w:sz="0" w:space="0" w:color="auto"/>
        <w:left w:val="none" w:sz="0" w:space="0" w:color="auto"/>
        <w:bottom w:val="none" w:sz="0" w:space="0" w:color="auto"/>
        <w:right w:val="none" w:sz="0" w:space="0" w:color="auto"/>
      </w:divBdr>
      <w:divsChild>
        <w:div w:id="969242644">
          <w:marLeft w:val="0"/>
          <w:marRight w:val="0"/>
          <w:marTop w:val="0"/>
          <w:marBottom w:val="0"/>
          <w:divBdr>
            <w:top w:val="none" w:sz="0" w:space="0" w:color="auto"/>
            <w:left w:val="none" w:sz="0" w:space="0" w:color="auto"/>
            <w:bottom w:val="none" w:sz="0" w:space="0" w:color="auto"/>
            <w:right w:val="none" w:sz="0" w:space="0" w:color="auto"/>
          </w:divBdr>
        </w:div>
      </w:divsChild>
    </w:div>
    <w:div w:id="1299993698">
      <w:bodyDiv w:val="1"/>
      <w:marLeft w:val="0"/>
      <w:marRight w:val="0"/>
      <w:marTop w:val="0"/>
      <w:marBottom w:val="0"/>
      <w:divBdr>
        <w:top w:val="none" w:sz="0" w:space="0" w:color="auto"/>
        <w:left w:val="none" w:sz="0" w:space="0" w:color="auto"/>
        <w:bottom w:val="none" w:sz="0" w:space="0" w:color="auto"/>
        <w:right w:val="none" w:sz="0" w:space="0" w:color="auto"/>
      </w:divBdr>
    </w:div>
    <w:div w:id="1439182013">
      <w:bodyDiv w:val="1"/>
      <w:marLeft w:val="0"/>
      <w:marRight w:val="0"/>
      <w:marTop w:val="0"/>
      <w:marBottom w:val="0"/>
      <w:divBdr>
        <w:top w:val="none" w:sz="0" w:space="0" w:color="auto"/>
        <w:left w:val="none" w:sz="0" w:space="0" w:color="auto"/>
        <w:bottom w:val="none" w:sz="0" w:space="0" w:color="auto"/>
        <w:right w:val="none" w:sz="0" w:space="0" w:color="auto"/>
      </w:divBdr>
    </w:div>
    <w:div w:id="1910000448">
      <w:bodyDiv w:val="1"/>
      <w:marLeft w:val="0"/>
      <w:marRight w:val="0"/>
      <w:marTop w:val="0"/>
      <w:marBottom w:val="0"/>
      <w:divBdr>
        <w:top w:val="none" w:sz="0" w:space="0" w:color="auto"/>
        <w:left w:val="none" w:sz="0" w:space="0" w:color="auto"/>
        <w:bottom w:val="none" w:sz="0" w:space="0" w:color="auto"/>
        <w:right w:val="none" w:sz="0" w:space="0" w:color="auto"/>
      </w:divBdr>
    </w:div>
    <w:div w:id="1948197146">
      <w:bodyDiv w:val="1"/>
      <w:marLeft w:val="0"/>
      <w:marRight w:val="0"/>
      <w:marTop w:val="0"/>
      <w:marBottom w:val="0"/>
      <w:divBdr>
        <w:top w:val="none" w:sz="0" w:space="0" w:color="auto"/>
        <w:left w:val="none" w:sz="0" w:space="0" w:color="auto"/>
        <w:bottom w:val="none" w:sz="0" w:space="0" w:color="auto"/>
        <w:right w:val="none" w:sz="0" w:space="0" w:color="auto"/>
      </w:divBdr>
    </w:div>
    <w:div w:id="1996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6.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5.xml"/><Relationship Id="rId4" Type="http://schemas.openxmlformats.org/officeDocument/2006/relationships/oleObject" Target="file:///C:\Users\cecyc\Desktop\Escuela\Economia\Economic%20Research\COVID-Empleo%20MX\Employment%20during%20Covid-19-crisis%20identifying%20transitional%20and%20structural%20long-run%20effects\Paper%20final\Tables%20and%20Figures%20Covid%20Mx%20paper%20(19-04-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97023589973862"/>
          <c:y val="7.3846153846153853E-2"/>
          <c:w val="0.80619625703609854"/>
          <c:h val="0.77346674742580257"/>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irf_est!$B$2:$B$12</c:f>
              <c:numCache>
                <c:formatCode>0.00</c:formatCode>
                <c:ptCount val="11"/>
                <c:pt idx="0">
                  <c:v>0</c:v>
                </c:pt>
                <c:pt idx="1">
                  <c:v>-1.4686640763698289E-2</c:v>
                </c:pt>
                <c:pt idx="2">
                  <c:v>-6.6671254184167807E-3</c:v>
                </c:pt>
                <c:pt idx="3">
                  <c:v>-2.230906364630423E-3</c:v>
                </c:pt>
                <c:pt idx="4">
                  <c:v>-7.3778769932864518E-4</c:v>
                </c:pt>
                <c:pt idx="5">
                  <c:v>-2.3709751996596801E-4</c:v>
                </c:pt>
                <c:pt idx="6">
                  <c:v>-7.5664665097437044E-5</c:v>
                </c:pt>
                <c:pt idx="7">
                  <c:v>-2.444281774034131E-5</c:v>
                </c:pt>
                <c:pt idx="8">
                  <c:v>-7.7380529505566653E-6</c:v>
                </c:pt>
                <c:pt idx="9">
                  <c:v>-2.506001359613482E-6</c:v>
                </c:pt>
                <c:pt idx="10">
                  <c:v>-7.9271339410499761E-7</c:v>
                </c:pt>
              </c:numCache>
            </c:numRef>
          </c:val>
          <c:smooth val="0"/>
          <c:extLst>
            <c:ext xmlns:c16="http://schemas.microsoft.com/office/drawing/2014/chart" uri="{C3380CC4-5D6E-409C-BE32-E72D297353CC}">
              <c16:uniqueId val="{00000000-BBC1-40D2-868C-10F635F18674}"/>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irf_est!$C$2:$C$12</c:f>
              <c:numCache>
                <c:formatCode>0.00</c:formatCode>
                <c:ptCount val="11"/>
                <c:pt idx="0">
                  <c:v>0</c:v>
                </c:pt>
                <c:pt idx="1">
                  <c:v>-5.2929493140215344E-3</c:v>
                </c:pt>
                <c:pt idx="2">
                  <c:v>-8.3320399585559506E-4</c:v>
                </c:pt>
                <c:pt idx="3">
                  <c:v>5.4903041926807961E-4</c:v>
                </c:pt>
                <c:pt idx="4">
                  <c:v>5.5191204268164077E-4</c:v>
                </c:pt>
                <c:pt idx="5">
                  <c:v>2.5934637106195252E-4</c:v>
                </c:pt>
                <c:pt idx="6">
                  <c:v>1.355020061421895E-4</c:v>
                </c:pt>
                <c:pt idx="7">
                  <c:v>2.5400778056891689E-5</c:v>
                </c:pt>
                <c:pt idx="8">
                  <c:v>2.3156158069093679E-5</c:v>
                </c:pt>
                <c:pt idx="9">
                  <c:v>6.4874071293956583E-6</c:v>
                </c:pt>
                <c:pt idx="10">
                  <c:v>2.9449074605049069E-6</c:v>
                </c:pt>
              </c:numCache>
            </c:numRef>
          </c:val>
          <c:smooth val="0"/>
          <c:extLst>
            <c:ext xmlns:c16="http://schemas.microsoft.com/office/drawing/2014/chart" uri="{C3380CC4-5D6E-409C-BE32-E72D297353CC}">
              <c16:uniqueId val="{00000001-BBC1-40D2-868C-10F635F18674}"/>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irf_est!$D$2:$D$12</c:f>
              <c:numCache>
                <c:formatCode>0.00</c:formatCode>
                <c:ptCount val="11"/>
                <c:pt idx="0">
                  <c:v>0</c:v>
                </c:pt>
                <c:pt idx="1">
                  <c:v>-3.2602228345103672E-2</c:v>
                </c:pt>
                <c:pt idx="2">
                  <c:v>-1.4157718544383271E-2</c:v>
                </c:pt>
                <c:pt idx="3">
                  <c:v>-5.2929316999274648E-3</c:v>
                </c:pt>
                <c:pt idx="4">
                  <c:v>-2.2547674418463282E-3</c:v>
                </c:pt>
                <c:pt idx="5">
                  <c:v>-1.0183466943786881E-3</c:v>
                </c:pt>
                <c:pt idx="6">
                  <c:v>-4.9626511647956598E-4</c:v>
                </c:pt>
                <c:pt idx="7">
                  <c:v>-2.5295826387080288E-4</c:v>
                </c:pt>
                <c:pt idx="8">
                  <c:v>-1.2443864772187821E-4</c:v>
                </c:pt>
                <c:pt idx="9">
                  <c:v>-6.2991484702375276E-5</c:v>
                </c:pt>
                <c:pt idx="10">
                  <c:v>-3.1203525389621571E-5</c:v>
                </c:pt>
              </c:numCache>
            </c:numRef>
          </c:val>
          <c:smooth val="0"/>
          <c:extLst>
            <c:ext xmlns:c16="http://schemas.microsoft.com/office/drawing/2014/chart" uri="{C3380CC4-5D6E-409C-BE32-E72D297353CC}">
              <c16:uniqueId val="{00000002-BBC1-40D2-868C-10F635F18674}"/>
            </c:ext>
          </c:extLst>
        </c:ser>
        <c:dLbls>
          <c:showLegendKey val="0"/>
          <c:showVal val="0"/>
          <c:showCatName val="0"/>
          <c:showSerName val="0"/>
          <c:showPercent val="0"/>
          <c:showBubbleSize val="0"/>
        </c:dLbls>
        <c:smooth val="0"/>
        <c:axId val="1581647327"/>
        <c:axId val="1581650239"/>
      </c:lineChart>
      <c:catAx>
        <c:axId val="1581647327"/>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581650239"/>
        <c:crosses val="autoZero"/>
        <c:auto val="1"/>
        <c:lblAlgn val="ctr"/>
        <c:lblOffset val="100"/>
        <c:noMultiLvlLbl val="0"/>
      </c:catAx>
      <c:valAx>
        <c:axId val="1581650239"/>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700">
                    <a:latin typeface="Times New Roman" panose="02020603050405020304" pitchFamily="18" charset="0"/>
                    <a:cs typeface="Times New Roman" panose="02020603050405020304" pitchFamily="18" charset="0"/>
                  </a:rPr>
                  <a:t>Employment growth rate</a:t>
                </a:r>
              </a:p>
            </c:rich>
          </c:tx>
          <c:layout>
            <c:manualLayout>
              <c:xMode val="edge"/>
              <c:yMode val="edge"/>
              <c:x val="9.7221128608923884E-3"/>
              <c:y val="0.17618897637795275"/>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581647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86570428696413"/>
          <c:y val="3.8461538461538464E-2"/>
          <c:w val="0.87776392534266545"/>
          <c:h val="0.67169939964400982"/>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data_graph_niv!$J$133:$J$139</c:f>
              <c:numCache>
                <c:formatCode>#,##0</c:formatCode>
                <c:ptCount val="7"/>
                <c:pt idx="0">
                  <c:v>4936569.1074957652</c:v>
                </c:pt>
                <c:pt idx="1">
                  <c:v>4888876</c:v>
                </c:pt>
                <c:pt idx="2">
                  <c:v>4770836.1982719991</c:v>
                </c:pt>
                <c:pt idx="3">
                  <c:v>4461280</c:v>
                </c:pt>
                <c:pt idx="4">
                  <c:v>4844126</c:v>
                </c:pt>
              </c:numCache>
              <c:extLst/>
            </c:numRef>
          </c:val>
          <c:smooth val="0"/>
          <c:extLst>
            <c:ext xmlns:c16="http://schemas.microsoft.com/office/drawing/2014/chart" uri="{C3380CC4-5D6E-409C-BE32-E72D297353CC}">
              <c16:uniqueId val="{00000000-2D13-4CEA-80D9-18A80F3E9679}"/>
            </c:ext>
          </c:extLst>
        </c:ser>
        <c:ser>
          <c:idx val="1"/>
          <c:order val="1"/>
          <c:tx>
            <c:v>Pre-COVID trend</c:v>
          </c:tx>
          <c:spPr>
            <a:ln w="12700" cap="rnd">
              <a:solidFill>
                <a:srgbClr val="FF0000"/>
              </a:solidFill>
              <a:prstDash val="dash"/>
              <a:round/>
            </a:ln>
            <a:effectLst/>
          </c:spPr>
          <c:marker>
            <c:symbol val="none"/>
          </c:marker>
          <c:dPt>
            <c:idx val="5"/>
            <c:marker>
              <c:symbol val="x"/>
              <c:size val="5"/>
              <c:spPr>
                <a:noFill/>
                <a:ln w="9525">
                  <a:solidFill>
                    <a:srgbClr val="FF0000"/>
                  </a:solidFill>
                </a:ln>
                <a:effectLst/>
              </c:spPr>
            </c:marker>
            <c:bubble3D val="0"/>
            <c:extLst>
              <c:ext xmlns:c16="http://schemas.microsoft.com/office/drawing/2014/chart" uri="{C3380CC4-5D6E-409C-BE32-E72D297353CC}">
                <c16:uniqueId val="{00000001-2D13-4CEA-80D9-18A80F3E9679}"/>
              </c:ext>
            </c:extLst>
          </c:dPt>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data_graph_niv!$N$133:$N$139</c:f>
              <c:numCache>
                <c:formatCode>#,##0</c:formatCode>
                <c:ptCount val="7"/>
                <c:pt idx="0">
                  <c:v>4936569.1074957652</c:v>
                </c:pt>
                <c:pt idx="1">
                  <c:v>4905738.0826438768</c:v>
                </c:pt>
                <c:pt idx="2">
                  <c:v>4965509.7815492712</c:v>
                </c:pt>
                <c:pt idx="3">
                  <c:v>5006161.8178204782</c:v>
                </c:pt>
                <c:pt idx="4">
                  <c:v>5056219.6395187266</c:v>
                </c:pt>
                <c:pt idx="5">
                  <c:v>5105410.1809950517</c:v>
                </c:pt>
                <c:pt idx="6">
                  <c:v>5155794.0331776496</c:v>
                </c:pt>
              </c:numCache>
              <c:extLst/>
            </c:numRef>
          </c:val>
          <c:smooth val="0"/>
          <c:extLst>
            <c:ext xmlns:c16="http://schemas.microsoft.com/office/drawing/2014/chart" uri="{C3380CC4-5D6E-409C-BE32-E72D297353CC}">
              <c16:uniqueId val="{00000002-2D13-4CEA-80D9-18A80F3E9679}"/>
            </c:ext>
          </c:extLst>
        </c:ser>
        <c:ser>
          <c:idx val="2"/>
          <c:order val="2"/>
          <c:tx>
            <c:v>I-Shock COVID-19 + Pre-COVID trend</c:v>
          </c:tx>
          <c:spPr>
            <a:ln w="19050" cap="rnd">
              <a:solidFill>
                <a:schemeClr val="accent3"/>
              </a:solidFill>
              <a:round/>
            </a:ln>
            <a:effectLst/>
          </c:spPr>
          <c:marker>
            <c:symbol val="none"/>
          </c:marker>
          <c:dPt>
            <c:idx val="5"/>
            <c:marker>
              <c:symbol val="diamond"/>
              <c:size val="5"/>
              <c:spPr>
                <a:solidFill>
                  <a:schemeClr val="accent3"/>
                </a:solidFill>
                <a:ln w="9525">
                  <a:solidFill>
                    <a:schemeClr val="accent3"/>
                  </a:solidFill>
                </a:ln>
                <a:effectLst/>
              </c:spPr>
            </c:marker>
            <c:bubble3D val="0"/>
            <c:extLst>
              <c:ext xmlns:c16="http://schemas.microsoft.com/office/drawing/2014/chart" uri="{C3380CC4-5D6E-409C-BE32-E72D297353CC}">
                <c16:uniqueId val="{00000003-2D13-4CEA-80D9-18A80F3E9679}"/>
              </c:ext>
            </c:extLst>
          </c:dPt>
          <c:cat>
            <c:strRef>
              <c:f>data_graph_niv!$A$133:$A$139</c:f>
              <c:strCache>
                <c:ptCount val="7"/>
                <c:pt idx="0">
                  <c:v>2019:Q4</c:v>
                </c:pt>
                <c:pt idx="1">
                  <c:v>2020:Q1</c:v>
                </c:pt>
                <c:pt idx="2">
                  <c:v>2020:Q2</c:v>
                </c:pt>
                <c:pt idx="3">
                  <c:v>2020:Q3</c:v>
                </c:pt>
                <c:pt idx="4">
                  <c:v>2020:Q4</c:v>
                </c:pt>
                <c:pt idx="5">
                  <c:v>2021:Q1</c:v>
                </c:pt>
                <c:pt idx="6">
                  <c:v>2021:Q2</c:v>
                </c:pt>
              </c:strCache>
              <c:extLst/>
            </c:strRef>
          </c:cat>
          <c:val>
            <c:numRef>
              <c:f>data_graph_niv!$Q$133:$Q$139</c:f>
              <c:numCache>
                <c:formatCode>#,##0</c:formatCode>
                <c:ptCount val="7"/>
                <c:pt idx="0">
                  <c:v>4936569.1074958183</c:v>
                </c:pt>
                <c:pt idx="1">
                  <c:v>4843948.6830419842</c:v>
                </c:pt>
                <c:pt idx="2">
                  <c:v>4870198.1725228224</c:v>
                </c:pt>
                <c:pt idx="3">
                  <c:v>4900181.8092367407</c:v>
                </c:pt>
                <c:pt idx="4">
                  <c:v>4945534.1479678629</c:v>
                </c:pt>
                <c:pt idx="5">
                  <c:v>4992563.3598991306</c:v>
                </c:pt>
                <c:pt idx="6">
                  <c:v>5041456.6785871005</c:v>
                </c:pt>
              </c:numCache>
              <c:extLst/>
            </c:numRef>
          </c:val>
          <c:smooth val="0"/>
          <c:extLst>
            <c:ext xmlns:c16="http://schemas.microsoft.com/office/drawing/2014/chart" uri="{C3380CC4-5D6E-409C-BE32-E72D297353CC}">
              <c16:uniqueId val="{00000004-2D13-4CEA-80D9-18A80F3E9679}"/>
            </c:ext>
          </c:extLst>
        </c:ser>
        <c:ser>
          <c:idx val="3"/>
          <c:order val="3"/>
          <c:tx>
            <c:v>Constant employment rate (2020:Q4)</c:v>
          </c:tx>
          <c:spPr>
            <a:ln w="19050" cap="rnd">
              <a:solidFill>
                <a:schemeClr val="accent4"/>
              </a:solidFill>
              <a:prstDash val="sysDot"/>
              <a:round/>
            </a:ln>
            <a:effectLst/>
          </c:spPr>
          <c:marker>
            <c:symbol val="circle"/>
            <c:size val="5"/>
            <c:spPr>
              <a:solidFill>
                <a:schemeClr val="accent4"/>
              </a:solidFill>
              <a:ln w="9525">
                <a:solidFill>
                  <a:schemeClr val="accent4"/>
                </a:solidFill>
              </a:ln>
              <a:effectLst/>
            </c:spPr>
          </c:marker>
          <c:dPt>
            <c:idx val="4"/>
            <c:marker>
              <c:symbol val="none"/>
            </c:marker>
            <c:bubble3D val="0"/>
            <c:extLst>
              <c:ext xmlns:c16="http://schemas.microsoft.com/office/drawing/2014/chart" uri="{C3380CC4-5D6E-409C-BE32-E72D297353CC}">
                <c16:uniqueId val="{00000005-2D13-4CEA-80D9-18A80F3E9679}"/>
              </c:ext>
            </c:extLst>
          </c:dPt>
          <c:dPt>
            <c:idx val="6"/>
            <c:marker>
              <c:symbol val="none"/>
            </c:marker>
            <c:bubble3D val="0"/>
            <c:extLst>
              <c:ext xmlns:c16="http://schemas.microsoft.com/office/drawing/2014/chart" uri="{C3380CC4-5D6E-409C-BE32-E72D297353CC}">
                <c16:uniqueId val="{00000006-2D13-4CEA-80D9-18A80F3E9679}"/>
              </c:ext>
            </c:extLst>
          </c:dPt>
          <c:cat>
            <c:strLit>
              <c:ptCount val="10"/>
              <c:pt idx="0">
                <c:v>2019:Q4</c:v>
              </c:pt>
              <c:pt idx="1">
                <c:v>2020:Q1</c:v>
              </c:pt>
              <c:pt idx="2">
                <c:v>2020:Q2</c:v>
              </c:pt>
              <c:pt idx="3">
                <c:v>2020:Q3</c:v>
              </c:pt>
              <c:pt idx="4">
                <c:v>2020:Q4</c:v>
              </c:pt>
              <c:pt idx="5">
                <c:v>2021:Q1</c:v>
              </c:pt>
              <c:pt idx="6">
                <c:v>2021:Q2</c:v>
              </c:pt>
              <c:pt idx="7">
                <c:v>2021:Q4</c:v>
              </c:pt>
              <c:pt idx="8">
                <c:v>2022:Q1</c:v>
              </c:pt>
              <c:pt idx="9">
                <c:v>2022:Q2</c:v>
              </c:pt>
              <c:extLst>
                <c:ext xmlns:c15="http://schemas.microsoft.com/office/drawing/2012/chart" uri="{02D57815-91ED-43cb-92C2-25804820EDAC}">
                  <c15:autoCat val="1"/>
                </c:ext>
              </c:extLst>
            </c:strLit>
          </c:cat>
          <c:val>
            <c:numRef>
              <c:f>'Ejercicio Emp'!$C$9:$C$15</c:f>
              <c:numCache>
                <c:formatCode>General</c:formatCode>
                <c:ptCount val="7"/>
                <c:pt idx="4" formatCode="#,##0">
                  <c:v>4844126</c:v>
                </c:pt>
                <c:pt idx="5" formatCode="#,##0">
                  <c:v>5259826.0373426462</c:v>
                </c:pt>
                <c:pt idx="6" formatCode="#,##0">
                  <c:v>5711199.490497903</c:v>
                </c:pt>
              </c:numCache>
              <c:extLst/>
            </c:numRef>
          </c:val>
          <c:smooth val="0"/>
          <c:extLst>
            <c:ext xmlns:c16="http://schemas.microsoft.com/office/drawing/2014/chart" uri="{C3380CC4-5D6E-409C-BE32-E72D297353CC}">
              <c16:uniqueId val="{00000007-2D13-4CEA-80D9-18A80F3E9679}"/>
            </c:ext>
          </c:extLst>
        </c:ser>
        <c:dLbls>
          <c:showLegendKey val="0"/>
          <c:showVal val="0"/>
          <c:showCatName val="0"/>
          <c:showSerName val="0"/>
          <c:showPercent val="0"/>
          <c:showBubbleSize val="0"/>
        </c:dLbls>
        <c:marker val="1"/>
        <c:smooth val="0"/>
        <c:axId val="1395130624"/>
        <c:axId val="1395131456"/>
      </c:lineChart>
      <c:catAx>
        <c:axId val="139513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1456"/>
        <c:crosses val="autoZero"/>
        <c:auto val="1"/>
        <c:lblAlgn val="ctr"/>
        <c:lblOffset val="100"/>
        <c:noMultiLvlLbl val="0"/>
      </c:catAx>
      <c:valAx>
        <c:axId val="1395131456"/>
        <c:scaling>
          <c:orientation val="minMax"/>
          <c:min val="44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0624"/>
        <c:crosses val="autoZero"/>
        <c:crossBetween val="between"/>
      </c:valAx>
      <c:spPr>
        <a:noFill/>
        <a:ln>
          <a:noFill/>
        </a:ln>
        <a:effectLst/>
      </c:spPr>
    </c:plotArea>
    <c:legend>
      <c:legendPos val="b"/>
      <c:layout>
        <c:manualLayout>
          <c:xMode val="edge"/>
          <c:yMode val="edge"/>
          <c:x val="8.3662129688553702E-2"/>
          <c:y val="0.87145669291338579"/>
          <c:w val="0.88068077949251888"/>
          <c:h val="0.128543421601095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17724912045569"/>
          <c:y val="5.65360803184458E-2"/>
          <c:w val="0.82080960860116048"/>
          <c:h val="0.75390352525883675"/>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irf_est!$H$2:$H$12</c:f>
              <c:numCache>
                <c:formatCode>0.00</c:formatCode>
                <c:ptCount val="11"/>
                <c:pt idx="0">
                  <c:v>0</c:v>
                </c:pt>
                <c:pt idx="1">
                  <c:v>-1.933350871340244E-3</c:v>
                </c:pt>
                <c:pt idx="2">
                  <c:v>-1.154952077645676E-3</c:v>
                </c:pt>
                <c:pt idx="3">
                  <c:v>-3.198650614692802E-4</c:v>
                </c:pt>
                <c:pt idx="4">
                  <c:v>-1.3063146218085411E-4</c:v>
                </c:pt>
                <c:pt idx="5">
                  <c:v>-3.4205093443102162E-5</c:v>
                </c:pt>
                <c:pt idx="6">
                  <c:v>-1.3278051323749171E-5</c:v>
                </c:pt>
                <c:pt idx="7">
                  <c:v>-3.601105581118095E-6</c:v>
                </c:pt>
                <c:pt idx="8">
                  <c:v>-1.330871986167543E-6</c:v>
                </c:pt>
                <c:pt idx="9">
                  <c:v>-3.7840713216938201E-7</c:v>
                </c:pt>
                <c:pt idx="10">
                  <c:v>-1.3349691453585491E-7</c:v>
                </c:pt>
              </c:numCache>
            </c:numRef>
          </c:val>
          <c:smooth val="0"/>
          <c:extLst>
            <c:ext xmlns:c16="http://schemas.microsoft.com/office/drawing/2014/chart" uri="{C3380CC4-5D6E-409C-BE32-E72D297353CC}">
              <c16:uniqueId val="{00000000-0C7A-4710-A625-605E85CFD824}"/>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irf_est!$I$2:$I$12</c:f>
              <c:numCache>
                <c:formatCode>0.00</c:formatCode>
                <c:ptCount val="11"/>
                <c:pt idx="0">
                  <c:v>0</c:v>
                </c:pt>
                <c:pt idx="1">
                  <c:v>8.1111266925671926E-3</c:v>
                </c:pt>
                <c:pt idx="2">
                  <c:v>2.7465206584797188E-3</c:v>
                </c:pt>
                <c:pt idx="3">
                  <c:v>1.168772044893328E-3</c:v>
                </c:pt>
                <c:pt idx="4">
                  <c:v>3.5053075875018919E-4</c:v>
                </c:pt>
                <c:pt idx="5">
                  <c:v>9.7525809424478763E-5</c:v>
                </c:pt>
                <c:pt idx="6">
                  <c:v>5.3029713358464411E-5</c:v>
                </c:pt>
                <c:pt idx="7">
                  <c:v>1.51172157074206E-5</c:v>
                </c:pt>
                <c:pt idx="8">
                  <c:v>1.4192560688593711E-5</c:v>
                </c:pt>
                <c:pt idx="9">
                  <c:v>2.498330312059345E-6</c:v>
                </c:pt>
                <c:pt idx="10">
                  <c:v>3.5500287016462621E-6</c:v>
                </c:pt>
              </c:numCache>
            </c:numRef>
          </c:val>
          <c:smooth val="0"/>
          <c:extLst>
            <c:ext xmlns:c16="http://schemas.microsoft.com/office/drawing/2014/chart" uri="{C3380CC4-5D6E-409C-BE32-E72D297353CC}">
              <c16:uniqueId val="{00000001-0C7A-4710-A625-605E85CFD824}"/>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irf_est!$J$2:$J$12</c:f>
              <c:numCache>
                <c:formatCode>0.00</c:formatCode>
                <c:ptCount val="11"/>
                <c:pt idx="0">
                  <c:v>0</c:v>
                </c:pt>
                <c:pt idx="1">
                  <c:v>-1.270808344577036E-2</c:v>
                </c:pt>
                <c:pt idx="2">
                  <c:v>-4.2192452333713144E-3</c:v>
                </c:pt>
                <c:pt idx="3">
                  <c:v>-1.8551797333862901E-3</c:v>
                </c:pt>
                <c:pt idx="4">
                  <c:v>-9.7016732658694073E-4</c:v>
                </c:pt>
                <c:pt idx="5">
                  <c:v>-4.4910899883840178E-4</c:v>
                </c:pt>
                <c:pt idx="6">
                  <c:v>-2.183308696433853E-4</c:v>
                </c:pt>
                <c:pt idx="7">
                  <c:v>-1.003673272740597E-4</c:v>
                </c:pt>
                <c:pt idx="8">
                  <c:v>-4.8512419185946912E-5</c:v>
                </c:pt>
                <c:pt idx="9">
                  <c:v>-2.2182759692188248E-5</c:v>
                </c:pt>
                <c:pt idx="10">
                  <c:v>-1.078357558646218E-5</c:v>
                </c:pt>
              </c:numCache>
            </c:numRef>
          </c:val>
          <c:smooth val="0"/>
          <c:extLst>
            <c:ext xmlns:c16="http://schemas.microsoft.com/office/drawing/2014/chart" uri="{C3380CC4-5D6E-409C-BE32-E72D297353CC}">
              <c16:uniqueId val="{00000002-0C7A-4710-A625-605E85CFD824}"/>
            </c:ext>
          </c:extLst>
        </c:ser>
        <c:dLbls>
          <c:showLegendKey val="0"/>
          <c:showVal val="0"/>
          <c:showCatName val="0"/>
          <c:showSerName val="0"/>
          <c:showPercent val="0"/>
          <c:showBubbleSize val="0"/>
        </c:dLbls>
        <c:smooth val="0"/>
        <c:axId val="21980639"/>
        <c:axId val="21981887"/>
      </c:lineChart>
      <c:catAx>
        <c:axId val="21980639"/>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1981887"/>
        <c:crosses val="autoZero"/>
        <c:auto val="1"/>
        <c:lblAlgn val="ctr"/>
        <c:lblOffset val="100"/>
        <c:noMultiLvlLbl val="0"/>
      </c:catAx>
      <c:valAx>
        <c:axId val="21981887"/>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 rate</a:t>
                </a:r>
              </a:p>
            </c:rich>
          </c:tx>
          <c:layout>
            <c:manualLayout>
              <c:xMode val="edge"/>
              <c:yMode val="edge"/>
              <c:x val="1.276595744680851E-2"/>
              <c:y val="0.20093299658297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1980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20528502795689"/>
          <c:y val="7.0512820512820512E-2"/>
          <c:w val="0.81556714795165386"/>
          <c:h val="0.80055622854835451"/>
        </c:manualLayout>
      </c:layout>
      <c:lineChart>
        <c:grouping val="standard"/>
        <c:varyColors val="0"/>
        <c:ser>
          <c:idx val="0"/>
          <c:order val="0"/>
          <c:tx>
            <c:strRef>
              <c:f>irf_est!$E$1</c:f>
              <c:strCache>
                <c:ptCount val="1"/>
                <c:pt idx="0">
                  <c:v>irf_pib_fm_emp</c:v>
                </c:pt>
              </c:strCache>
            </c:strRef>
          </c:tx>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irf_est!$E$2:$E$12</c:f>
              <c:numCache>
                <c:formatCode>0.00</c:formatCode>
                <c:ptCount val="11"/>
                <c:pt idx="0">
                  <c:v>0</c:v>
                </c:pt>
                <c:pt idx="1">
                  <c:v>-1.267532554876602E-2</c:v>
                </c:pt>
                <c:pt idx="2">
                  <c:v>-6.7060129363605003E-3</c:v>
                </c:pt>
                <c:pt idx="3">
                  <c:v>-2.0158704222869679E-3</c:v>
                </c:pt>
                <c:pt idx="4">
                  <c:v>-7.3691132368361998E-4</c:v>
                </c:pt>
                <c:pt idx="5">
                  <c:v>-2.1719978677468371E-4</c:v>
                </c:pt>
                <c:pt idx="6">
                  <c:v>-7.4753390444595472E-5</c:v>
                </c:pt>
                <c:pt idx="7">
                  <c:v>-2.267268506668938E-5</c:v>
                </c:pt>
                <c:pt idx="8">
                  <c:v>-7.5624008899735534E-6</c:v>
                </c:pt>
                <c:pt idx="9">
                  <c:v>-2.348747952701732E-6</c:v>
                </c:pt>
                <c:pt idx="10">
                  <c:v>-7.6793777796519713E-7</c:v>
                </c:pt>
              </c:numCache>
            </c:numRef>
          </c:val>
          <c:smooth val="0"/>
          <c:extLst>
            <c:ext xmlns:c16="http://schemas.microsoft.com/office/drawing/2014/chart" uri="{C3380CC4-5D6E-409C-BE32-E72D297353CC}">
              <c16:uniqueId val="{00000000-B832-48E5-B4A3-D29D7EF9C453}"/>
            </c:ext>
          </c:extLst>
        </c:ser>
        <c:ser>
          <c:idx val="1"/>
          <c:order val="1"/>
          <c:tx>
            <c:strRef>
              <c:f>irf_est!$F$1</c:f>
              <c:strCache>
                <c:ptCount val="1"/>
                <c:pt idx="0">
                  <c:v>lower_pib_fm_emp</c:v>
                </c:pt>
              </c:strCache>
            </c:strRef>
          </c:tx>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irf_est!$F$2:$F$12</c:f>
              <c:numCache>
                <c:formatCode>0.00</c:formatCode>
                <c:ptCount val="11"/>
                <c:pt idx="0">
                  <c:v>0</c:v>
                </c:pt>
                <c:pt idx="1">
                  <c:v>-1.6204757478158721E-3</c:v>
                </c:pt>
                <c:pt idx="2">
                  <c:v>-4.6438960491876748E-4</c:v>
                </c:pt>
                <c:pt idx="3">
                  <c:v>1.8213718697361E-3</c:v>
                </c:pt>
                <c:pt idx="4">
                  <c:v>6.6109286990977253E-4</c:v>
                </c:pt>
                <c:pt idx="5">
                  <c:v>4.2328964828817638E-4</c:v>
                </c:pt>
                <c:pt idx="6">
                  <c:v>1.604463188012097E-4</c:v>
                </c:pt>
                <c:pt idx="7">
                  <c:v>9.181192667418394E-5</c:v>
                </c:pt>
                <c:pt idx="8">
                  <c:v>2.4045106975139241E-5</c:v>
                </c:pt>
                <c:pt idx="9">
                  <c:v>1.455149891015107E-5</c:v>
                </c:pt>
                <c:pt idx="10">
                  <c:v>1.8827622282350349E-6</c:v>
                </c:pt>
              </c:numCache>
            </c:numRef>
          </c:val>
          <c:smooth val="0"/>
          <c:extLst>
            <c:ext xmlns:c16="http://schemas.microsoft.com/office/drawing/2014/chart" uri="{C3380CC4-5D6E-409C-BE32-E72D297353CC}">
              <c16:uniqueId val="{00000001-B832-48E5-B4A3-D29D7EF9C453}"/>
            </c:ext>
          </c:extLst>
        </c:ser>
        <c:ser>
          <c:idx val="2"/>
          <c:order val="2"/>
          <c:tx>
            <c:strRef>
              <c:f>irf_est!$G$1</c:f>
              <c:strCache>
                <c:ptCount val="1"/>
                <c:pt idx="0">
                  <c:v>upper_pib_fm_emp</c:v>
                </c:pt>
              </c:strCache>
            </c:strRef>
          </c:tx>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irf_est!$G$2:$G$12</c:f>
              <c:numCache>
                <c:formatCode>0.00</c:formatCode>
                <c:ptCount val="11"/>
                <c:pt idx="0">
                  <c:v>0</c:v>
                </c:pt>
                <c:pt idx="1">
                  <c:v>-2.262346849699956E-2</c:v>
                </c:pt>
                <c:pt idx="2">
                  <c:v>-1.298630727799379E-2</c:v>
                </c:pt>
                <c:pt idx="3">
                  <c:v>-4.7276843895718854E-3</c:v>
                </c:pt>
                <c:pt idx="4">
                  <c:v>-2.600329852494125E-3</c:v>
                </c:pt>
                <c:pt idx="5">
                  <c:v>-1.2991473498138019E-3</c:v>
                </c:pt>
                <c:pt idx="6">
                  <c:v>-7.170326244571733E-4</c:v>
                </c:pt>
                <c:pt idx="7">
                  <c:v>-3.8948671167340633E-4</c:v>
                </c:pt>
                <c:pt idx="8">
                  <c:v>-2.1837925639566451E-4</c:v>
                </c:pt>
                <c:pt idx="9">
                  <c:v>-1.182580768809666E-4</c:v>
                </c:pt>
                <c:pt idx="10">
                  <c:v>-6.6342954111756313E-5</c:v>
                </c:pt>
              </c:numCache>
            </c:numRef>
          </c:val>
          <c:smooth val="0"/>
          <c:extLst>
            <c:ext xmlns:c16="http://schemas.microsoft.com/office/drawing/2014/chart" uri="{C3380CC4-5D6E-409C-BE32-E72D297353CC}">
              <c16:uniqueId val="{00000002-B832-48E5-B4A3-D29D7EF9C453}"/>
            </c:ext>
          </c:extLst>
        </c:ser>
        <c:dLbls>
          <c:showLegendKey val="0"/>
          <c:showVal val="0"/>
          <c:showCatName val="0"/>
          <c:showSerName val="0"/>
          <c:showPercent val="0"/>
          <c:showBubbleSize val="0"/>
        </c:dLbls>
        <c:smooth val="0"/>
        <c:axId val="27410543"/>
        <c:axId val="27435087"/>
      </c:lineChart>
      <c:catAx>
        <c:axId val="27410543"/>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35087"/>
        <c:crosses val="autoZero"/>
        <c:auto val="1"/>
        <c:lblAlgn val="ctr"/>
        <c:lblOffset val="100"/>
        <c:noMultiLvlLbl val="0"/>
      </c:catAx>
      <c:valAx>
        <c:axId val="27435087"/>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a:t>
                </a:r>
                <a:r>
                  <a:rPr lang="es-MX" sz="800" baseline="0">
                    <a:latin typeface="Times New Roman" panose="02020603050405020304" pitchFamily="18" charset="0"/>
                    <a:cs typeface="Times New Roman" panose="02020603050405020304" pitchFamily="18" charset="0"/>
                  </a:rPr>
                  <a:t> rate</a:t>
                </a:r>
                <a:endParaRPr lang="es-MX"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10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2697184038436"/>
          <c:y val="6.9182389937106917E-2"/>
          <c:w val="0.84149673028159611"/>
          <c:h val="0.74701215063771975"/>
        </c:manualLayout>
      </c:layout>
      <c:lineChart>
        <c:grouping val="standard"/>
        <c:varyColors val="0"/>
        <c:ser>
          <c:idx val="0"/>
          <c:order val="0"/>
          <c:spPr>
            <a:ln w="9525" cap="rnd">
              <a:solidFill>
                <a:schemeClr val="tx1"/>
              </a:solidFill>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irf_est!$K$2:$K$12</c:f>
              <c:numCache>
                <c:formatCode>0.00</c:formatCode>
                <c:ptCount val="11"/>
                <c:pt idx="0">
                  <c:v>0</c:v>
                </c:pt>
                <c:pt idx="1">
                  <c:v>1.4805171416052551E-3</c:v>
                </c:pt>
                <c:pt idx="2">
                  <c:v>-2.4086477957449231E-4</c:v>
                </c:pt>
                <c:pt idx="3">
                  <c:v>6.705573856590768E-6</c:v>
                </c:pt>
                <c:pt idx="4">
                  <c:v>-1.8387355507564981E-5</c:v>
                </c:pt>
                <c:pt idx="5">
                  <c:v>-3.1642757107245889E-6</c:v>
                </c:pt>
                <c:pt idx="6">
                  <c:v>-1.227352106132981E-6</c:v>
                </c:pt>
                <c:pt idx="7">
                  <c:v>-4.8752795969251167E-7</c:v>
                </c:pt>
                <c:pt idx="8">
                  <c:v>-9.5192968395640395E-8</c:v>
                </c:pt>
                <c:pt idx="9">
                  <c:v>-5.5341353343438709E-8</c:v>
                </c:pt>
                <c:pt idx="10">
                  <c:v>-9.1079670757286537E-9</c:v>
                </c:pt>
              </c:numCache>
            </c:numRef>
          </c:val>
          <c:smooth val="0"/>
          <c:extLst>
            <c:ext xmlns:c16="http://schemas.microsoft.com/office/drawing/2014/chart" uri="{C3380CC4-5D6E-409C-BE32-E72D297353CC}">
              <c16:uniqueId val="{00000000-BF21-47C0-9EB6-15C57081291B}"/>
            </c:ext>
          </c:extLst>
        </c:ser>
        <c:ser>
          <c:idx val="1"/>
          <c:order val="1"/>
          <c:spPr>
            <a:ln w="9525" cap="rnd">
              <a:solidFill>
                <a:schemeClr val="bg1">
                  <a:lumMod val="50000"/>
                </a:schemeClr>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irf_est!$L$2:$L$12</c:f>
              <c:numCache>
                <c:formatCode>0.00</c:formatCode>
                <c:ptCount val="11"/>
                <c:pt idx="0">
                  <c:v>0</c:v>
                </c:pt>
                <c:pt idx="1">
                  <c:v>1.391464932648943E-2</c:v>
                </c:pt>
                <c:pt idx="2">
                  <c:v>6.4183566023377579E-3</c:v>
                </c:pt>
                <c:pt idx="3">
                  <c:v>1.804100100665869E-3</c:v>
                </c:pt>
                <c:pt idx="4">
                  <c:v>5.2294589230118143E-4</c:v>
                </c:pt>
                <c:pt idx="5">
                  <c:v>2.4938938769533252E-4</c:v>
                </c:pt>
                <c:pt idx="6">
                  <c:v>1.036791270851228E-4</c:v>
                </c:pt>
                <c:pt idx="7">
                  <c:v>6.1001815193340343E-5</c:v>
                </c:pt>
                <c:pt idx="8">
                  <c:v>1.8683290039656281E-5</c:v>
                </c:pt>
                <c:pt idx="9">
                  <c:v>1.6746986852214081E-5</c:v>
                </c:pt>
                <c:pt idx="10">
                  <c:v>3.3050012555589301E-6</c:v>
                </c:pt>
              </c:numCache>
            </c:numRef>
          </c:val>
          <c:smooth val="0"/>
          <c:extLst>
            <c:ext xmlns:c16="http://schemas.microsoft.com/office/drawing/2014/chart" uri="{C3380CC4-5D6E-409C-BE32-E72D297353CC}">
              <c16:uniqueId val="{00000001-BF21-47C0-9EB6-15C57081291B}"/>
            </c:ext>
          </c:extLst>
        </c:ser>
        <c:ser>
          <c:idx val="2"/>
          <c:order val="2"/>
          <c:spPr>
            <a:ln w="9525" cap="rnd">
              <a:solidFill>
                <a:schemeClr val="accent3"/>
              </a:solidFill>
              <a:prstDash val="dash"/>
              <a:round/>
            </a:ln>
            <a:effectLst/>
          </c:spPr>
          <c:marker>
            <c:symbol val="none"/>
          </c:marker>
          <c:cat>
            <c:numRef>
              <c:f>irf_est!$A$2:$A$12</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irf_est!$M$2:$M$12</c:f>
              <c:numCache>
                <c:formatCode>0.00</c:formatCode>
                <c:ptCount val="11"/>
                <c:pt idx="0">
                  <c:v>0</c:v>
                </c:pt>
                <c:pt idx="1">
                  <c:v>-1.0389850152250159E-2</c:v>
                </c:pt>
                <c:pt idx="2">
                  <c:v>-6.1193968989132399E-3</c:v>
                </c:pt>
                <c:pt idx="3">
                  <c:v>-1.6415804121598201E-3</c:v>
                </c:pt>
                <c:pt idx="4">
                  <c:v>-1.124014353797137E-3</c:v>
                </c:pt>
                <c:pt idx="5">
                  <c:v>-4.5011201331805008E-4</c:v>
                </c:pt>
                <c:pt idx="6">
                  <c:v>-2.6963454183700521E-4</c:v>
                </c:pt>
                <c:pt idx="7">
                  <c:v>-1.112567973050074E-4</c:v>
                </c:pt>
                <c:pt idx="8">
                  <c:v>-6.0079631776561837E-5</c:v>
                </c:pt>
                <c:pt idx="9">
                  <c:v>-2.4292212061914331E-5</c:v>
                </c:pt>
                <c:pt idx="10">
                  <c:v>-1.347675741374786E-5</c:v>
                </c:pt>
              </c:numCache>
            </c:numRef>
          </c:val>
          <c:smooth val="0"/>
          <c:extLst>
            <c:ext xmlns:c16="http://schemas.microsoft.com/office/drawing/2014/chart" uri="{C3380CC4-5D6E-409C-BE32-E72D297353CC}">
              <c16:uniqueId val="{00000002-BF21-47C0-9EB6-15C57081291B}"/>
            </c:ext>
          </c:extLst>
        </c:ser>
        <c:dLbls>
          <c:showLegendKey val="0"/>
          <c:showVal val="0"/>
          <c:showCatName val="0"/>
          <c:showSerName val="0"/>
          <c:showPercent val="0"/>
          <c:showBubbleSize val="0"/>
        </c:dLbls>
        <c:smooth val="0"/>
        <c:axId val="27428847"/>
        <c:axId val="27417199"/>
      </c:lineChart>
      <c:catAx>
        <c:axId val="27428847"/>
        <c:scaling>
          <c:orientation val="minMax"/>
        </c:scaling>
        <c:delete val="0"/>
        <c:axPos val="b"/>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17199"/>
        <c:crosses val="autoZero"/>
        <c:auto val="1"/>
        <c:lblAlgn val="ctr"/>
        <c:lblOffset val="100"/>
        <c:noMultiLvlLbl val="0"/>
      </c:catAx>
      <c:valAx>
        <c:axId val="27417199"/>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800">
                    <a:latin typeface="Times New Roman" panose="02020603050405020304" pitchFamily="18" charset="0"/>
                    <a:cs typeface="Times New Roman" panose="02020603050405020304" pitchFamily="18" charset="0"/>
                  </a:rPr>
                  <a:t>Employment growth rate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27428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43862424492125E-2"/>
          <c:y val="0.10996854383911471"/>
          <c:w val="0.89673321483923008"/>
          <c:h val="0.68946118855075544"/>
        </c:manualLayout>
      </c:layout>
      <c:lineChart>
        <c:grouping val="standard"/>
        <c:varyColors val="0"/>
        <c:ser>
          <c:idx val="0"/>
          <c:order val="0"/>
          <c:tx>
            <c:v>Actual employment</c:v>
          </c:tx>
          <c:spPr>
            <a:ln w="19050" cap="rnd">
              <a:solidFill>
                <a:sysClr val="windowText" lastClr="000000"/>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data_graph_niv!$B$126:$B$143</c:f>
              <c:numCache>
                <c:formatCode>#,##0</c:formatCode>
                <c:ptCount val="18"/>
                <c:pt idx="0">
                  <c:v>6377786.2352675367</c:v>
                </c:pt>
                <c:pt idx="1">
                  <c:v>6397497.3252612688</c:v>
                </c:pt>
                <c:pt idx="2">
                  <c:v>6515687.2134321397</c:v>
                </c:pt>
                <c:pt idx="3">
                  <c:v>6442760.6152421581</c:v>
                </c:pt>
                <c:pt idx="4">
                  <c:v>6848791.3496836694</c:v>
                </c:pt>
                <c:pt idx="5">
                  <c:v>7025520.3745547095</c:v>
                </c:pt>
                <c:pt idx="6">
                  <c:v>7138069.7983074002</c:v>
                </c:pt>
                <c:pt idx="7">
                  <c:v>7159141.2689194912</c:v>
                </c:pt>
                <c:pt idx="8">
                  <c:v>6995441</c:v>
                </c:pt>
                <c:pt idx="9">
                  <c:v>6669967.0547813326</c:v>
                </c:pt>
                <c:pt idx="10">
                  <c:v>6561327</c:v>
                </c:pt>
                <c:pt idx="11">
                  <c:v>6812159</c:v>
                </c:pt>
              </c:numCache>
            </c:numRef>
          </c:val>
          <c:smooth val="0"/>
          <c:extLst>
            <c:ext xmlns:c16="http://schemas.microsoft.com/office/drawing/2014/chart" uri="{C3380CC4-5D6E-409C-BE32-E72D297353CC}">
              <c16:uniqueId val="{00000000-3712-4BE0-88B1-2B2E01C0AFA7}"/>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data_graph_niv!$F$126:$F$143</c:f>
              <c:numCache>
                <c:formatCode>General</c:formatCode>
                <c:ptCount val="18"/>
                <c:pt idx="2">
                  <c:v>2.0077663553158015E-2</c:v>
                </c:pt>
                <c:pt idx="7" formatCode="#,##0">
                  <c:v>7159141.2689194912</c:v>
                </c:pt>
                <c:pt idx="8" formatCode="#,##0">
                  <c:v>7146397.6836083923</c:v>
                </c:pt>
                <c:pt idx="9" formatCode="#,##0">
                  <c:v>7194940.9216086725</c:v>
                </c:pt>
                <c:pt idx="10" formatCode="#,##0">
                  <c:v>7240959.2395460242</c:v>
                </c:pt>
                <c:pt idx="11" formatCode="#,##0">
                  <c:v>7292333.0511472011</c:v>
                </c:pt>
                <c:pt idx="12" formatCode="#,##0">
                  <c:v>7344615.4232649021</c:v>
                </c:pt>
                <c:pt idx="13" formatCode="#,##0">
                  <c:v>7397594.792018149</c:v>
                </c:pt>
                <c:pt idx="14" formatCode="#,##0">
                  <c:v>7451062.4225026518</c:v>
                </c:pt>
                <c:pt idx="15" formatCode="#,##0">
                  <c:v>7504939.6164085465</c:v>
                </c:pt>
                <c:pt idx="16" formatCode="#,##0">
                  <c:v>7559219.3877484323</c:v>
                </c:pt>
                <c:pt idx="17" formatCode="#,##0">
                  <c:v>7613893.8715622006</c:v>
                </c:pt>
              </c:numCache>
            </c:numRef>
          </c:val>
          <c:smooth val="0"/>
          <c:extLst>
            <c:ext xmlns:c16="http://schemas.microsoft.com/office/drawing/2014/chart" uri="{C3380CC4-5D6E-409C-BE32-E72D297353CC}">
              <c16:uniqueId val="{00000001-3712-4BE0-88B1-2B2E01C0AFA7}"/>
            </c:ext>
          </c:extLst>
        </c:ser>
        <c:ser>
          <c:idx val="2"/>
          <c:order val="2"/>
          <c:tx>
            <c:v>I-Shock COVID-19 + Pre-COVID trend</c:v>
          </c:tx>
          <c:spPr>
            <a:ln w="19050"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data_graph_niv!$I$126:$I$143</c:f>
              <c:numCache>
                <c:formatCode>General</c:formatCode>
                <c:ptCount val="18"/>
                <c:pt idx="7" formatCode="#,##0">
                  <c:v>7159141.2689194912</c:v>
                </c:pt>
                <c:pt idx="8" formatCode="#,##0">
                  <c:v>7042208.078504432</c:v>
                </c:pt>
                <c:pt idx="9" formatCode="#,##0">
                  <c:v>7042930.6079588439</c:v>
                </c:pt>
                <c:pt idx="10" formatCode="#,##0">
                  <c:v>7072181.6918390607</c:v>
                </c:pt>
                <c:pt idx="11" formatCode="#,##0">
                  <c:v>7117105.1950775208</c:v>
                </c:pt>
                <c:pt idx="12" formatCode="#,##0">
                  <c:v>7166431.9266299671</c:v>
                </c:pt>
                <c:pt idx="13" formatCode="#,##0">
                  <c:v>7217579.8569208877</c:v>
                </c:pt>
                <c:pt idx="14" formatCode="#,##0">
                  <c:v>7269568.7017024131</c:v>
                </c:pt>
                <c:pt idx="15" formatCode="#,##0">
                  <c:v>7322076.8907137243</c:v>
                </c:pt>
                <c:pt idx="16" formatCode="#,##0">
                  <c:v>7375015.6183660934</c:v>
                </c:pt>
                <c:pt idx="17" formatCode="#,##0">
                  <c:v>7428351.9006569022</c:v>
                </c:pt>
              </c:numCache>
            </c:numRef>
          </c:val>
          <c:smooth val="0"/>
          <c:extLst>
            <c:ext xmlns:c16="http://schemas.microsoft.com/office/drawing/2014/chart" uri="{C3380CC4-5D6E-409C-BE32-E72D297353CC}">
              <c16:uniqueId val="{00000002-3712-4BE0-88B1-2B2E01C0AFA7}"/>
            </c:ext>
          </c:extLst>
        </c:ser>
        <c:dLbls>
          <c:showLegendKey val="0"/>
          <c:showVal val="0"/>
          <c:showCatName val="0"/>
          <c:showSerName val="0"/>
          <c:showPercent val="0"/>
          <c:showBubbleSize val="0"/>
        </c:dLbls>
        <c:marker val="1"/>
        <c:smooth val="0"/>
        <c:axId val="1601495360"/>
        <c:axId val="1601493280"/>
      </c:lineChart>
      <c:catAx>
        <c:axId val="16014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3280"/>
        <c:crosses val="autoZero"/>
        <c:auto val="1"/>
        <c:lblAlgn val="ctr"/>
        <c:lblOffset val="100"/>
        <c:noMultiLvlLbl val="0"/>
      </c:catAx>
      <c:valAx>
        <c:axId val="1601493280"/>
        <c:scaling>
          <c:orientation val="minMax"/>
          <c:min val="6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5360"/>
        <c:crosses val="autoZero"/>
        <c:crossBetween val="between"/>
      </c:valAx>
      <c:spPr>
        <a:noFill/>
        <a:ln>
          <a:noFill/>
        </a:ln>
        <a:effectLst/>
      </c:spPr>
    </c:plotArea>
    <c:legend>
      <c:legendPos val="b"/>
      <c:layout>
        <c:manualLayout>
          <c:xMode val="edge"/>
          <c:yMode val="edge"/>
          <c:x val="1.2201249792859395E-2"/>
          <c:y val="0.93544097528349501"/>
          <c:w val="0.96171720897413282"/>
          <c:h val="6.078679820194889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86570428696413"/>
          <c:y val="3.8461538461538464E-2"/>
          <c:w val="0.88006575423900069"/>
          <c:h val="0.71384491678424589"/>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data_graph_niv!$J$126:$J$143</c:f>
              <c:numCache>
                <c:formatCode>#,##0</c:formatCode>
                <c:ptCount val="18"/>
                <c:pt idx="0">
                  <c:v>4267907.4369200859</c:v>
                </c:pt>
                <c:pt idx="1">
                  <c:v>4415840.1014038054</c:v>
                </c:pt>
                <c:pt idx="2">
                  <c:v>4492703.7148349788</c:v>
                </c:pt>
                <c:pt idx="3">
                  <c:v>4403081.4612394264</c:v>
                </c:pt>
                <c:pt idx="4">
                  <c:v>4606978.2724738633</c:v>
                </c:pt>
                <c:pt idx="5">
                  <c:v>4820970.7276950525</c:v>
                </c:pt>
                <c:pt idx="6">
                  <c:v>4827495.2878223136</c:v>
                </c:pt>
                <c:pt idx="7">
                  <c:v>4936569.1074957652</c:v>
                </c:pt>
                <c:pt idx="8">
                  <c:v>4888876</c:v>
                </c:pt>
                <c:pt idx="9">
                  <c:v>4770836.1982719991</c:v>
                </c:pt>
                <c:pt idx="10">
                  <c:v>4461280</c:v>
                </c:pt>
                <c:pt idx="11">
                  <c:v>4844126</c:v>
                </c:pt>
              </c:numCache>
            </c:numRef>
          </c:val>
          <c:smooth val="0"/>
          <c:extLst>
            <c:ext xmlns:c16="http://schemas.microsoft.com/office/drawing/2014/chart" uri="{C3380CC4-5D6E-409C-BE32-E72D297353CC}">
              <c16:uniqueId val="{00000000-4F42-478C-B18A-F4E72239DEEB}"/>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data_graph_niv!$N$126:$N$143</c:f>
              <c:numCache>
                <c:formatCode>General</c:formatCode>
                <c:ptCount val="18"/>
                <c:pt idx="7" formatCode="#,##0">
                  <c:v>4936569.1074957652</c:v>
                </c:pt>
                <c:pt idx="8" formatCode="#,##0">
                  <c:v>4905738.0826438768</c:v>
                </c:pt>
                <c:pt idx="9" formatCode="#,##0">
                  <c:v>4965509.7815492712</c:v>
                </c:pt>
                <c:pt idx="10" formatCode="#,##0">
                  <c:v>5006161.8178204782</c:v>
                </c:pt>
                <c:pt idx="11" formatCode="#,##0">
                  <c:v>5056219.6395187266</c:v>
                </c:pt>
                <c:pt idx="12" formatCode="#,##0">
                  <c:v>5105410.1809950517</c:v>
                </c:pt>
                <c:pt idx="13" formatCode="#,##0">
                  <c:v>5155794.0331776496</c:v>
                </c:pt>
                <c:pt idx="14" formatCode="#,##0">
                  <c:v>5206605.6527949888</c:v>
                </c:pt>
                <c:pt idx="15" formatCode="#,##0">
                  <c:v>5257971.7696310002</c:v>
                </c:pt>
                <c:pt idx="16" formatCode="#,##0">
                  <c:v>5309843.1555771623</c:v>
                </c:pt>
                <c:pt idx="17" formatCode="#,##0">
                  <c:v>5362230.3427822534</c:v>
                </c:pt>
              </c:numCache>
            </c:numRef>
          </c:val>
          <c:smooth val="0"/>
          <c:extLst>
            <c:ext xmlns:c16="http://schemas.microsoft.com/office/drawing/2014/chart" uri="{C3380CC4-5D6E-409C-BE32-E72D297353CC}">
              <c16:uniqueId val="{00000001-4F42-478C-B18A-F4E72239DEEB}"/>
            </c:ext>
          </c:extLst>
        </c:ser>
        <c:ser>
          <c:idx val="2"/>
          <c:order val="2"/>
          <c:tx>
            <c:v>I-Shock COVID-19 + Pre-COVID trend</c:v>
          </c:tx>
          <c:spPr>
            <a:ln w="19050"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data_graph_niv!$Q$126:$Q$143</c:f>
              <c:numCache>
                <c:formatCode>General</c:formatCode>
                <c:ptCount val="18"/>
                <c:pt idx="7" formatCode="#,##0">
                  <c:v>4936569.1074958183</c:v>
                </c:pt>
                <c:pt idx="8" formatCode="#,##0">
                  <c:v>4843948.6830419842</c:v>
                </c:pt>
                <c:pt idx="9" formatCode="#,##0">
                  <c:v>4870198.1725228224</c:v>
                </c:pt>
                <c:pt idx="10" formatCode="#,##0">
                  <c:v>4900181.8092367407</c:v>
                </c:pt>
                <c:pt idx="11" formatCode="#,##0">
                  <c:v>4945534.1479678629</c:v>
                </c:pt>
                <c:pt idx="12" formatCode="#,##0">
                  <c:v>4992563.3598991306</c:v>
                </c:pt>
                <c:pt idx="13" formatCode="#,##0">
                  <c:v>5041456.6785871005</c:v>
                </c:pt>
                <c:pt idx="14" formatCode="#,##0">
                  <c:v>5091026.0468849177</c:v>
                </c:pt>
                <c:pt idx="15" formatCode="#,##0">
                  <c:v>5141213.0253156638</c:v>
                </c:pt>
                <c:pt idx="16" formatCode="#,##0">
                  <c:v>5191920.3585369484</c:v>
                </c:pt>
                <c:pt idx="17" formatCode="#,##0">
                  <c:v>5243140.0869204253</c:v>
                </c:pt>
              </c:numCache>
            </c:numRef>
          </c:val>
          <c:smooth val="0"/>
          <c:extLst>
            <c:ext xmlns:c16="http://schemas.microsoft.com/office/drawing/2014/chart" uri="{C3380CC4-5D6E-409C-BE32-E72D297353CC}">
              <c16:uniqueId val="{00000002-4F42-478C-B18A-F4E72239DEEB}"/>
            </c:ext>
          </c:extLst>
        </c:ser>
        <c:dLbls>
          <c:showLegendKey val="0"/>
          <c:showVal val="0"/>
          <c:showCatName val="0"/>
          <c:showSerName val="0"/>
          <c:showPercent val="0"/>
          <c:showBubbleSize val="0"/>
        </c:dLbls>
        <c:marker val="1"/>
        <c:smooth val="0"/>
        <c:axId val="1395130624"/>
        <c:axId val="1395131456"/>
      </c:lineChart>
      <c:catAx>
        <c:axId val="139513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1456"/>
        <c:crosses val="autoZero"/>
        <c:auto val="1"/>
        <c:lblAlgn val="ctr"/>
        <c:lblOffset val="100"/>
        <c:noMultiLvlLbl val="0"/>
      </c:catAx>
      <c:valAx>
        <c:axId val="1395131456"/>
        <c:scaling>
          <c:orientation val="minMax"/>
          <c:min val="4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9513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53439603145327E-2"/>
          <c:y val="8.430436249932409E-2"/>
          <c:w val="0.87522348912088632"/>
          <c:h val="0.68154929603726133"/>
        </c:manualLayout>
      </c:layout>
      <c:lineChart>
        <c:grouping val="standard"/>
        <c:varyColors val="0"/>
        <c:ser>
          <c:idx val="0"/>
          <c:order val="0"/>
          <c:tx>
            <c:v>Actual employment</c:v>
          </c:tx>
          <c:spPr>
            <a:ln w="19050"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data_graph_niv!$R$126:$R$143</c:f>
              <c:numCache>
                <c:formatCode>#,##0</c:formatCode>
                <c:ptCount val="18"/>
                <c:pt idx="0">
                  <c:v>6668846.7022972656</c:v>
                </c:pt>
                <c:pt idx="1">
                  <c:v>6757837.0090146838</c:v>
                </c:pt>
                <c:pt idx="2">
                  <c:v>6819868.8189146733</c:v>
                </c:pt>
                <c:pt idx="3">
                  <c:v>6818577.7739886697</c:v>
                </c:pt>
                <c:pt idx="4">
                  <c:v>7169117.7468784023</c:v>
                </c:pt>
                <c:pt idx="5">
                  <c:v>7132161.6456120983</c:v>
                </c:pt>
                <c:pt idx="6">
                  <c:v>7073504.4290056694</c:v>
                </c:pt>
                <c:pt idx="7">
                  <c:v>6971950.4430859983</c:v>
                </c:pt>
                <c:pt idx="8">
                  <c:v>7087024</c:v>
                </c:pt>
                <c:pt idx="9">
                  <c:v>3936294.9452186669</c:v>
                </c:pt>
                <c:pt idx="10">
                  <c:v>6232779</c:v>
                </c:pt>
                <c:pt idx="11">
                  <c:v>6739774</c:v>
                </c:pt>
              </c:numCache>
            </c:numRef>
          </c:val>
          <c:smooth val="0"/>
          <c:extLst>
            <c:ext xmlns:c16="http://schemas.microsoft.com/office/drawing/2014/chart" uri="{C3380CC4-5D6E-409C-BE32-E72D297353CC}">
              <c16:uniqueId val="{00000000-C915-4508-99CA-58609C89C03E}"/>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data_graph_niv!$V$126:$V$143</c:f>
              <c:numCache>
                <c:formatCode>General</c:formatCode>
                <c:ptCount val="18"/>
                <c:pt idx="7" formatCode="#,##0">
                  <c:v>6971950.4430859983</c:v>
                </c:pt>
                <c:pt idx="8" formatCode="#,##0">
                  <c:v>7019929.1096158149</c:v>
                </c:pt>
                <c:pt idx="9" formatCode="#,##0">
                  <c:v>7071783.135537643</c:v>
                </c:pt>
                <c:pt idx="10" formatCode="#,##0">
                  <c:v>7119313.9086871371</c:v>
                </c:pt>
                <c:pt idx="11" formatCode="#,##0">
                  <c:v>7170234.0686847698</c:v>
                </c:pt>
                <c:pt idx="12" formatCode="#,##0">
                  <c:v>7220755.8055956941</c:v>
                </c:pt>
                <c:pt idx="13" formatCode="#,##0">
                  <c:v>7271962.8602908384</c:v>
                </c:pt>
                <c:pt idx="14" formatCode="#,##0">
                  <c:v>7323464.5094176354</c:v>
                </c:pt>
                <c:pt idx="15" formatCode="#,##0">
                  <c:v>7375359.5209522452</c:v>
                </c:pt>
                <c:pt idx="16" formatCode="#,##0">
                  <c:v>7427617.2907086294</c:v>
                </c:pt>
                <c:pt idx="17" formatCode="#,##0">
                  <c:v>7480247.5745565873</c:v>
                </c:pt>
              </c:numCache>
            </c:numRef>
          </c:val>
          <c:smooth val="0"/>
          <c:extLst>
            <c:ext xmlns:c16="http://schemas.microsoft.com/office/drawing/2014/chart" uri="{C3380CC4-5D6E-409C-BE32-E72D297353CC}">
              <c16:uniqueId val="{00000001-C915-4508-99CA-58609C89C03E}"/>
            </c:ext>
          </c:extLst>
        </c:ser>
        <c:ser>
          <c:idx val="2"/>
          <c:order val="2"/>
          <c:tx>
            <c:v>I-Shock COVID-19 + Pre-COVID trend</c:v>
          </c:tx>
          <c:spPr>
            <a:ln w="22225"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data_graph_niv!$Y$126:$Y$143</c:f>
              <c:numCache>
                <c:formatCode>General</c:formatCode>
                <c:ptCount val="18"/>
                <c:pt idx="7" formatCode="#,##0">
                  <c:v>6971950.4430859983</c:v>
                </c:pt>
                <c:pt idx="8" formatCode="#,##0">
                  <c:v>7006370.2348096184</c:v>
                </c:pt>
                <c:pt idx="9" formatCode="#,##0">
                  <c:v>7049977.0161085771</c:v>
                </c:pt>
                <c:pt idx="10" formatCode="#,##0">
                  <c:v>7095091.3914180184</c:v>
                </c:pt>
                <c:pt idx="11" formatCode="#,##0">
                  <c:v>7144904.8920156769</c:v>
                </c:pt>
                <c:pt idx="12" formatCode="#,##0">
                  <c:v>7195002.0486757727</c:v>
                </c:pt>
                <c:pt idx="13" formatCode="#,##0">
                  <c:v>7245930.2543330593</c:v>
                </c:pt>
                <c:pt idx="14" formatCode="#,##0">
                  <c:v>7297221.2566760033</c:v>
                </c:pt>
                <c:pt idx="15" formatCode="#,##0">
                  <c:v>7348920.5246670488</c:v>
                </c:pt>
                <c:pt idx="16" formatCode="#,##0">
                  <c:v>7400988.1615472985</c:v>
                </c:pt>
                <c:pt idx="17" formatCode="#,##0">
                  <c:v>7453428.7628734829</c:v>
                </c:pt>
              </c:numCache>
            </c:numRef>
          </c:val>
          <c:smooth val="0"/>
          <c:extLst>
            <c:ext xmlns:c16="http://schemas.microsoft.com/office/drawing/2014/chart" uri="{C3380CC4-5D6E-409C-BE32-E72D297353CC}">
              <c16:uniqueId val="{00000002-C915-4508-99CA-58609C89C03E}"/>
            </c:ext>
          </c:extLst>
        </c:ser>
        <c:dLbls>
          <c:showLegendKey val="0"/>
          <c:showVal val="0"/>
          <c:showCatName val="0"/>
          <c:showSerName val="0"/>
          <c:showPercent val="0"/>
          <c:showBubbleSize val="0"/>
        </c:dLbls>
        <c:marker val="1"/>
        <c:smooth val="0"/>
        <c:axId val="1631943216"/>
        <c:axId val="1631937392"/>
      </c:lineChart>
      <c:catAx>
        <c:axId val="163194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31937392"/>
        <c:crosses val="autoZero"/>
        <c:auto val="1"/>
        <c:lblAlgn val="ctr"/>
        <c:lblOffset val="100"/>
        <c:noMultiLvlLbl val="0"/>
      </c:catAx>
      <c:valAx>
        <c:axId val="1631937392"/>
        <c:scaling>
          <c:orientation val="minMax"/>
          <c:min val="3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31943216"/>
        <c:crosses val="autoZero"/>
        <c:crossBetween val="between"/>
      </c:valAx>
      <c:spPr>
        <a:noFill/>
        <a:ln>
          <a:noFill/>
        </a:ln>
        <a:effectLst/>
      </c:spPr>
    </c:plotArea>
    <c:legend>
      <c:legendPos val="b"/>
      <c:layout>
        <c:manualLayout>
          <c:xMode val="edge"/>
          <c:yMode val="edge"/>
          <c:x val="1.8413969087197436E-2"/>
          <c:y val="0.93850637856314467"/>
          <c:w val="0.90206080489938756"/>
          <c:h val="6.14936214368552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44270605855383E-2"/>
          <c:y val="3.7406678160044983E-2"/>
          <c:w val="0.88706218509389922"/>
          <c:h val="0.72597200391195504"/>
        </c:manualLayout>
      </c:layout>
      <c:lineChart>
        <c:grouping val="standard"/>
        <c:varyColors val="0"/>
        <c:ser>
          <c:idx val="0"/>
          <c:order val="0"/>
          <c:tx>
            <c:v>Actual employment</c:v>
          </c:tx>
          <c:spPr>
            <a:ln w="22225" cap="rnd">
              <a:solidFill>
                <a:schemeClr val="tx1"/>
              </a:solidFill>
              <a:round/>
            </a:ln>
            <a:effectLst/>
          </c:spPr>
          <c:marker>
            <c:symbol val="square"/>
            <c:size val="4"/>
            <c:spPr>
              <a:solidFill>
                <a:schemeClr val="tx1"/>
              </a:solidFill>
              <a:ln w="9525">
                <a:noFill/>
              </a:ln>
              <a:effectLst/>
            </c:spPr>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data_graph_niv!$Z$126:$Z$143</c:f>
              <c:numCache>
                <c:formatCode>#,##0</c:formatCode>
                <c:ptCount val="18"/>
                <c:pt idx="0">
                  <c:v>4850887.1441683685</c:v>
                </c:pt>
                <c:pt idx="1">
                  <c:v>4895196.9206655342</c:v>
                </c:pt>
                <c:pt idx="2">
                  <c:v>4929740.3994155703</c:v>
                </c:pt>
                <c:pt idx="3">
                  <c:v>4904986.2555531142</c:v>
                </c:pt>
                <c:pt idx="4">
                  <c:v>5256550.6464134241</c:v>
                </c:pt>
                <c:pt idx="5">
                  <c:v>5143287.3923862576</c:v>
                </c:pt>
                <c:pt idx="6">
                  <c:v>5188654.8739346061</c:v>
                </c:pt>
                <c:pt idx="7">
                  <c:v>5230020.4063921217</c:v>
                </c:pt>
                <c:pt idx="8">
                  <c:v>5114686</c:v>
                </c:pt>
                <c:pt idx="9">
                  <c:v>2985771.8017280004</c:v>
                </c:pt>
                <c:pt idx="10">
                  <c:v>4118776</c:v>
                </c:pt>
                <c:pt idx="11">
                  <c:v>4735363</c:v>
                </c:pt>
              </c:numCache>
            </c:numRef>
          </c:val>
          <c:smooth val="0"/>
          <c:extLst>
            <c:ext xmlns:c16="http://schemas.microsoft.com/office/drawing/2014/chart" uri="{C3380CC4-5D6E-409C-BE32-E72D297353CC}">
              <c16:uniqueId val="{00000000-F6DE-4E5B-9F44-00D5CE804477}"/>
            </c:ext>
          </c:extLst>
        </c:ser>
        <c:ser>
          <c:idx val="1"/>
          <c:order val="1"/>
          <c:tx>
            <c:v>Pre-COVID trend</c:v>
          </c:tx>
          <c:spPr>
            <a:ln w="12700" cap="rnd">
              <a:solidFill>
                <a:srgbClr val="FF0000"/>
              </a:solidFill>
              <a:prstDash val="dash"/>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data_graph_niv!$AD$126:$AD$143</c:f>
              <c:numCache>
                <c:formatCode>General</c:formatCode>
                <c:ptCount val="18"/>
                <c:pt idx="7" formatCode="#,##0">
                  <c:v>5230020.4063921217</c:v>
                </c:pt>
                <c:pt idx="8" formatCode="#,##0">
                  <c:v>5259590.2257494219</c:v>
                </c:pt>
                <c:pt idx="9" formatCode="#,##0">
                  <c:v>5327756.4447152922</c:v>
                </c:pt>
                <c:pt idx="10" formatCode="#,##0">
                  <c:v>5384889.0122910189</c:v>
                </c:pt>
                <c:pt idx="11" formatCode="#,##0">
                  <c:v>5445463.0269853352</c:v>
                </c:pt>
                <c:pt idx="12" formatCode="#,##0">
                  <c:v>5506173.238799586</c:v>
                </c:pt>
                <c:pt idx="13" formatCode="#,##0">
                  <c:v>5567653.2181251356</c:v>
                </c:pt>
                <c:pt idx="14" formatCode="#,##0">
                  <c:v>5629813.3557205107</c:v>
                </c:pt>
                <c:pt idx="15" formatCode="#,##0">
                  <c:v>5692665.6024098238</c:v>
                </c:pt>
                <c:pt idx="16" formatCode="#,##0">
                  <c:v>5756221.3272896362</c:v>
                </c:pt>
                <c:pt idx="17" formatCode="#,##0">
                  <c:v>5820485.9793571355</c:v>
                </c:pt>
              </c:numCache>
            </c:numRef>
          </c:val>
          <c:smooth val="0"/>
          <c:extLst>
            <c:ext xmlns:c16="http://schemas.microsoft.com/office/drawing/2014/chart" uri="{C3380CC4-5D6E-409C-BE32-E72D297353CC}">
              <c16:uniqueId val="{00000001-F6DE-4E5B-9F44-00D5CE804477}"/>
            </c:ext>
          </c:extLst>
        </c:ser>
        <c:ser>
          <c:idx val="2"/>
          <c:order val="2"/>
          <c:tx>
            <c:v>I-Shock COVID-19 + Pre-COVID trend</c:v>
          </c:tx>
          <c:spPr>
            <a:ln w="22225" cap="rnd">
              <a:solidFill>
                <a:schemeClr val="accent3"/>
              </a:solidFill>
              <a:round/>
            </a:ln>
            <a:effectLst/>
          </c:spPr>
          <c:marker>
            <c:symbol val="none"/>
          </c:marker>
          <c:cat>
            <c:strRef>
              <c:f>data_graph_niv!$A$126:$A$143</c:f>
              <c:strCache>
                <c:ptCount val="18"/>
                <c:pt idx="0">
                  <c:v>2018:Q1</c:v>
                </c:pt>
                <c:pt idx="1">
                  <c:v>2018:Q2</c:v>
                </c:pt>
                <c:pt idx="2">
                  <c:v>2018:Q3</c:v>
                </c:pt>
                <c:pt idx="3">
                  <c:v>2018:Q4</c:v>
                </c:pt>
                <c:pt idx="4">
                  <c:v>2019:Q1</c:v>
                </c:pt>
                <c:pt idx="5">
                  <c:v>2019:Q2</c:v>
                </c:pt>
                <c:pt idx="6">
                  <c:v>2019:Q3</c:v>
                </c:pt>
                <c:pt idx="7">
                  <c:v>2019:Q4</c:v>
                </c:pt>
                <c:pt idx="8">
                  <c:v>2020:Q1</c:v>
                </c:pt>
                <c:pt idx="9">
                  <c:v>2020:Q2</c:v>
                </c:pt>
                <c:pt idx="10">
                  <c:v>2020:Q3</c:v>
                </c:pt>
                <c:pt idx="11">
                  <c:v>2020:Q4</c:v>
                </c:pt>
                <c:pt idx="12">
                  <c:v>2021:Q1</c:v>
                </c:pt>
                <c:pt idx="13">
                  <c:v>2021:Q2</c:v>
                </c:pt>
                <c:pt idx="14">
                  <c:v>2021:Q3</c:v>
                </c:pt>
                <c:pt idx="15">
                  <c:v>2021:Q4</c:v>
                </c:pt>
                <c:pt idx="16">
                  <c:v>2022:Q1</c:v>
                </c:pt>
                <c:pt idx="17">
                  <c:v>2022:Q2</c:v>
                </c:pt>
              </c:strCache>
            </c:strRef>
          </c:cat>
          <c:val>
            <c:numRef>
              <c:f>data_graph_niv!$AG$126:$AG$143</c:f>
              <c:numCache>
                <c:formatCode>General</c:formatCode>
                <c:ptCount val="18"/>
                <c:pt idx="7" formatCode="#,##0">
                  <c:v>5230020.4063921217</c:v>
                </c:pt>
                <c:pt idx="8" formatCode="#,##0">
                  <c:v>5267382.9064116934</c:v>
                </c:pt>
                <c:pt idx="9" formatCode="#,##0">
                  <c:v>5334365.1059512412</c:v>
                </c:pt>
                <c:pt idx="10" formatCode="#,##0">
                  <c:v>5391604.6956486339</c:v>
                </c:pt>
                <c:pt idx="11" formatCode="#,##0">
                  <c:v>5452154.0026988955</c:v>
                </c:pt>
                <c:pt idx="12" formatCode="#,##0">
                  <c:v>5512921.3662279714</c:v>
                </c:pt>
                <c:pt idx="13" formatCode="#,##0">
                  <c:v>5574469.8509117411</c:v>
                </c:pt>
                <c:pt idx="14" formatCode="#,##0">
                  <c:v>5636703.3448423855</c:v>
                </c:pt>
                <c:pt idx="15" formatCode="#,##0">
                  <c:v>5699631.970041885</c:v>
                </c:pt>
                <c:pt idx="16" formatCode="#,##0">
                  <c:v>5763265.1519369856</c:v>
                </c:pt>
                <c:pt idx="17" formatCode="#,##0">
                  <c:v>5827608.390873841</c:v>
                </c:pt>
              </c:numCache>
            </c:numRef>
          </c:val>
          <c:smooth val="0"/>
          <c:extLst>
            <c:ext xmlns:c16="http://schemas.microsoft.com/office/drawing/2014/chart" uri="{C3380CC4-5D6E-409C-BE32-E72D297353CC}">
              <c16:uniqueId val="{00000002-F6DE-4E5B-9F44-00D5CE804477}"/>
            </c:ext>
          </c:extLst>
        </c:ser>
        <c:dLbls>
          <c:showLegendKey val="0"/>
          <c:showVal val="0"/>
          <c:showCatName val="0"/>
          <c:showSerName val="0"/>
          <c:showPercent val="0"/>
          <c:showBubbleSize val="0"/>
        </c:dLbls>
        <c:marker val="1"/>
        <c:smooth val="0"/>
        <c:axId val="1609772480"/>
        <c:axId val="1609773312"/>
      </c:lineChart>
      <c:catAx>
        <c:axId val="160977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9773312"/>
        <c:crosses val="autoZero"/>
        <c:auto val="1"/>
        <c:lblAlgn val="ctr"/>
        <c:lblOffset val="100"/>
        <c:noMultiLvlLbl val="0"/>
      </c:catAx>
      <c:valAx>
        <c:axId val="1609773312"/>
        <c:scaling>
          <c:orientation val="minMax"/>
          <c:min val="20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9772480"/>
        <c:crosses val="autoZero"/>
        <c:crossBetween val="between"/>
      </c:valAx>
      <c:spPr>
        <a:noFill/>
        <a:ln>
          <a:noFill/>
        </a:ln>
        <a:effectLst/>
      </c:spPr>
    </c:plotArea>
    <c:legend>
      <c:legendPos val="b"/>
      <c:layout>
        <c:manualLayout>
          <c:xMode val="edge"/>
          <c:yMode val="edge"/>
          <c:x val="3.8277300448604938E-2"/>
          <c:y val="0.93088837783091416"/>
          <c:w val="0.94918421801811037"/>
          <c:h val="6.13746782619290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557849661719345E-2"/>
          <c:y val="9.6808866218710043E-2"/>
          <c:w val="0.88695780633705446"/>
          <c:h val="0.57822947073730524"/>
        </c:manualLayout>
      </c:layout>
      <c:lineChart>
        <c:grouping val="standard"/>
        <c:varyColors val="0"/>
        <c:ser>
          <c:idx val="0"/>
          <c:order val="0"/>
          <c:tx>
            <c:v>Actual employment</c:v>
          </c:tx>
          <c:spPr>
            <a:ln w="19050" cap="rnd">
              <a:solidFill>
                <a:sysClr val="windowText" lastClr="000000"/>
              </a:solidFill>
              <a:round/>
            </a:ln>
            <a:effectLst/>
          </c:spPr>
          <c:marker>
            <c:symbol val="square"/>
            <c:size val="4"/>
            <c:spPr>
              <a:solidFill>
                <a:schemeClr val="tx1"/>
              </a:solidFill>
              <a:ln w="9525">
                <a:noFill/>
              </a:ln>
              <a:effectLst/>
            </c:spPr>
          </c:marker>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data_graph_niv!$B$133:$B$140</c:f>
              <c:numCache>
                <c:formatCode>#,##0</c:formatCode>
                <c:ptCount val="8"/>
                <c:pt idx="0">
                  <c:v>7159141.2689194912</c:v>
                </c:pt>
                <c:pt idx="1">
                  <c:v>6995441</c:v>
                </c:pt>
                <c:pt idx="2">
                  <c:v>6669967.0547813326</c:v>
                </c:pt>
                <c:pt idx="3">
                  <c:v>6561327</c:v>
                </c:pt>
                <c:pt idx="4">
                  <c:v>6812159</c:v>
                </c:pt>
              </c:numCache>
              <c:extLst/>
            </c:numRef>
          </c:val>
          <c:smooth val="0"/>
          <c:extLst>
            <c:ext xmlns:c16="http://schemas.microsoft.com/office/drawing/2014/chart" uri="{C3380CC4-5D6E-409C-BE32-E72D297353CC}">
              <c16:uniqueId val="{00000000-D1C3-40F9-9CF6-F7FEA4889D67}"/>
            </c:ext>
          </c:extLst>
        </c:ser>
        <c:ser>
          <c:idx val="1"/>
          <c:order val="1"/>
          <c:tx>
            <c:v>Pre-COVID trend</c:v>
          </c:tx>
          <c:spPr>
            <a:ln w="12700" cap="rnd">
              <a:solidFill>
                <a:srgbClr val="FF0000"/>
              </a:solidFill>
              <a:prstDash val="dash"/>
              <a:round/>
            </a:ln>
            <a:effectLst/>
          </c:spPr>
          <c:marker>
            <c:symbol val="none"/>
          </c:marker>
          <c:dPt>
            <c:idx val="6"/>
            <c:marker>
              <c:symbol val="x"/>
              <c:size val="5"/>
              <c:spPr>
                <a:noFill/>
                <a:ln w="9525">
                  <a:solidFill>
                    <a:srgbClr val="FF0000"/>
                  </a:solidFill>
                </a:ln>
                <a:effectLst/>
              </c:spPr>
            </c:marker>
            <c:bubble3D val="0"/>
            <c:extLst>
              <c:ext xmlns:c16="http://schemas.microsoft.com/office/drawing/2014/chart" uri="{C3380CC4-5D6E-409C-BE32-E72D297353CC}">
                <c16:uniqueId val="{00000001-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data_graph_niv!$F$133:$F$140</c:f>
              <c:numCache>
                <c:formatCode>#,##0</c:formatCode>
                <c:ptCount val="8"/>
                <c:pt idx="0">
                  <c:v>7159141.2689194912</c:v>
                </c:pt>
                <c:pt idx="1">
                  <c:v>7146397.6836083923</c:v>
                </c:pt>
                <c:pt idx="2">
                  <c:v>7194940.9216086725</c:v>
                </c:pt>
                <c:pt idx="3">
                  <c:v>7240959.2395460242</c:v>
                </c:pt>
                <c:pt idx="4">
                  <c:v>7292333.0511472011</c:v>
                </c:pt>
                <c:pt idx="5">
                  <c:v>7344615.4232649021</c:v>
                </c:pt>
                <c:pt idx="6">
                  <c:v>7397594.792018149</c:v>
                </c:pt>
                <c:pt idx="7">
                  <c:v>7451062.4225026518</c:v>
                </c:pt>
              </c:numCache>
              <c:extLst/>
            </c:numRef>
          </c:val>
          <c:smooth val="0"/>
          <c:extLst>
            <c:ext xmlns:c16="http://schemas.microsoft.com/office/drawing/2014/chart" uri="{C3380CC4-5D6E-409C-BE32-E72D297353CC}">
              <c16:uniqueId val="{00000002-D1C3-40F9-9CF6-F7FEA4889D67}"/>
            </c:ext>
          </c:extLst>
        </c:ser>
        <c:ser>
          <c:idx val="2"/>
          <c:order val="2"/>
          <c:tx>
            <c:v>I-Shock COVID-19 + Pre-COVID trend</c:v>
          </c:tx>
          <c:spPr>
            <a:ln w="19050" cap="rnd">
              <a:solidFill>
                <a:schemeClr val="accent3"/>
              </a:solidFill>
              <a:round/>
            </a:ln>
            <a:effectLst/>
          </c:spPr>
          <c:marker>
            <c:symbol val="none"/>
          </c:marker>
          <c:dPt>
            <c:idx val="6"/>
            <c:marker>
              <c:symbol val="circle"/>
              <c:size val="5"/>
              <c:spPr>
                <a:solidFill>
                  <a:schemeClr val="accent3"/>
                </a:solidFill>
                <a:ln w="9525">
                  <a:noFill/>
                </a:ln>
                <a:effectLst/>
              </c:spPr>
            </c:marker>
            <c:bubble3D val="0"/>
            <c:extLst>
              <c:ext xmlns:c16="http://schemas.microsoft.com/office/drawing/2014/chart" uri="{C3380CC4-5D6E-409C-BE32-E72D297353CC}">
                <c16:uniqueId val="{00000003-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data_graph_niv!$I$133:$I$140</c:f>
              <c:numCache>
                <c:formatCode>#,##0</c:formatCode>
                <c:ptCount val="8"/>
                <c:pt idx="0">
                  <c:v>7159141.2689194912</c:v>
                </c:pt>
                <c:pt idx="1">
                  <c:v>7042208.078504432</c:v>
                </c:pt>
                <c:pt idx="2">
                  <c:v>7042930.6079588439</c:v>
                </c:pt>
                <c:pt idx="3">
                  <c:v>7072181.6918390607</c:v>
                </c:pt>
                <c:pt idx="4">
                  <c:v>7117105.1950775208</c:v>
                </c:pt>
                <c:pt idx="5">
                  <c:v>7166431.9266299671</c:v>
                </c:pt>
                <c:pt idx="6">
                  <c:v>7217579.8569208877</c:v>
                </c:pt>
                <c:pt idx="7">
                  <c:v>7269568.7017024131</c:v>
                </c:pt>
              </c:numCache>
              <c:extLst/>
            </c:numRef>
          </c:val>
          <c:smooth val="0"/>
          <c:extLst>
            <c:ext xmlns:c16="http://schemas.microsoft.com/office/drawing/2014/chart" uri="{C3380CC4-5D6E-409C-BE32-E72D297353CC}">
              <c16:uniqueId val="{00000004-D1C3-40F9-9CF6-F7FEA4889D67}"/>
            </c:ext>
          </c:extLst>
        </c:ser>
        <c:ser>
          <c:idx val="3"/>
          <c:order val="3"/>
          <c:tx>
            <c:v>Constant employment rate (2020:Q4)</c:v>
          </c:tx>
          <c:spPr>
            <a:ln w="22225" cap="rnd">
              <a:solidFill>
                <a:schemeClr val="accent6">
                  <a:lumMod val="60000"/>
                  <a:lumOff val="40000"/>
                </a:schemeClr>
              </a:solidFill>
              <a:prstDash val="sysDot"/>
              <a:round/>
            </a:ln>
            <a:effectLst/>
          </c:spPr>
          <c:marker>
            <c:symbol val="none"/>
          </c:marker>
          <c:dPt>
            <c:idx val="6"/>
            <c:marker>
              <c:symbol val="diamond"/>
              <c:size val="5"/>
              <c:spPr>
                <a:solidFill>
                  <a:schemeClr val="accent6"/>
                </a:solidFill>
                <a:ln w="9525">
                  <a:noFill/>
                </a:ln>
                <a:effectLst/>
              </c:spPr>
            </c:marker>
            <c:bubble3D val="0"/>
            <c:extLst>
              <c:ext xmlns:c16="http://schemas.microsoft.com/office/drawing/2014/chart" uri="{C3380CC4-5D6E-409C-BE32-E72D297353CC}">
                <c16:uniqueId val="{00000005-D1C3-40F9-9CF6-F7FEA4889D67}"/>
              </c:ext>
            </c:extLst>
          </c:dPt>
          <c:cat>
            <c:strRef>
              <c:f>'Ejercicio Emp'!$A$9:$A$16</c:f>
              <c:strCache>
                <c:ptCount val="8"/>
                <c:pt idx="0">
                  <c:v>2019:Q4</c:v>
                </c:pt>
                <c:pt idx="1">
                  <c:v>2020:Q1</c:v>
                </c:pt>
                <c:pt idx="2">
                  <c:v>2020:Q2</c:v>
                </c:pt>
                <c:pt idx="3">
                  <c:v>2020:Q3</c:v>
                </c:pt>
                <c:pt idx="4">
                  <c:v>2020:Q4</c:v>
                </c:pt>
                <c:pt idx="5">
                  <c:v>2021:Q1</c:v>
                </c:pt>
                <c:pt idx="6">
                  <c:v>2021:Q2</c:v>
                </c:pt>
                <c:pt idx="7">
                  <c:v>2021:Q3</c:v>
                </c:pt>
              </c:strCache>
              <c:extLst/>
            </c:strRef>
          </c:cat>
          <c:val>
            <c:numRef>
              <c:f>'Ejercicio Emp'!$B$9:$B$16</c:f>
              <c:numCache>
                <c:formatCode>General</c:formatCode>
                <c:ptCount val="8"/>
                <c:pt idx="4" formatCode="#,##0">
                  <c:v>6812159</c:v>
                </c:pt>
                <c:pt idx="5" formatCode="#,##0">
                  <c:v>7072580.0194504866</c:v>
                </c:pt>
                <c:pt idx="6" formatCode="#,##0">
                  <c:v>7342956.6355586015</c:v>
                </c:pt>
                <c:pt idx="7" formatCode="#,##0">
                  <c:v>7623669.4393573515</c:v>
                </c:pt>
              </c:numCache>
              <c:extLst/>
            </c:numRef>
          </c:val>
          <c:smooth val="0"/>
          <c:extLst>
            <c:ext xmlns:c16="http://schemas.microsoft.com/office/drawing/2014/chart" uri="{C3380CC4-5D6E-409C-BE32-E72D297353CC}">
              <c16:uniqueId val="{00000006-D1C3-40F9-9CF6-F7FEA4889D67}"/>
            </c:ext>
          </c:extLst>
        </c:ser>
        <c:dLbls>
          <c:showLegendKey val="0"/>
          <c:showVal val="0"/>
          <c:showCatName val="0"/>
          <c:showSerName val="0"/>
          <c:showPercent val="0"/>
          <c:showBubbleSize val="0"/>
        </c:dLbls>
        <c:marker val="1"/>
        <c:smooth val="0"/>
        <c:axId val="1601495360"/>
        <c:axId val="1601493280"/>
      </c:lineChart>
      <c:catAx>
        <c:axId val="16014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3280"/>
        <c:crosses val="autoZero"/>
        <c:auto val="1"/>
        <c:lblAlgn val="ctr"/>
        <c:lblOffset val="100"/>
        <c:noMultiLvlLbl val="0"/>
      </c:catAx>
      <c:valAx>
        <c:axId val="1601493280"/>
        <c:scaling>
          <c:orientation val="minMax"/>
          <c:min val="6400000"/>
        </c:scaling>
        <c:delete val="0"/>
        <c:axPos val="l"/>
        <c:majorGridlines>
          <c:spPr>
            <a:ln w="635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601495360"/>
        <c:crosses val="autoZero"/>
        <c:crossBetween val="between"/>
      </c:valAx>
      <c:spPr>
        <a:noFill/>
        <a:ln>
          <a:noFill/>
        </a:ln>
        <a:effectLst/>
      </c:spPr>
    </c:plotArea>
    <c:legend>
      <c:legendPos val="b"/>
      <c:layout>
        <c:manualLayout>
          <c:xMode val="edge"/>
          <c:yMode val="edge"/>
          <c:x val="7.2626970508523486E-2"/>
          <c:y val="0.87017587271572294"/>
          <c:w val="0.90068709377901579"/>
          <c:h val="0.129824227335617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0.46406</cdr:x>
      <cdr:y>0.12427</cdr:y>
    </cdr:from>
    <cdr:to>
      <cdr:x>0.46684</cdr:x>
      <cdr:y>0.79439</cdr:y>
    </cdr:to>
    <cdr:cxnSp macro="">
      <cdr:nvCxnSpPr>
        <cdr:cNvPr id="3" name="Conector recto 2">
          <a:extLst xmlns:a="http://schemas.openxmlformats.org/drawingml/2006/main">
            <a:ext uri="{FF2B5EF4-FFF2-40B4-BE49-F238E27FC236}">
              <a16:creationId xmlns:a16="http://schemas.microsoft.com/office/drawing/2014/main" id="{1AC463FD-6B16-41AC-909B-3694A5F14D28}"/>
            </a:ext>
          </a:extLst>
        </cdr:cNvPr>
        <cdr:cNvCxnSpPr/>
      </cdr:nvCxnSpPr>
      <cdr:spPr>
        <a:xfrm xmlns:a="http://schemas.openxmlformats.org/drawingml/2006/main" flipH="1">
          <a:off x="3111833" y="437187"/>
          <a:ext cx="18642" cy="2357415"/>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0.7597</cdr:x>
      <cdr:y>0.12953</cdr:y>
    </cdr:from>
    <cdr:to>
      <cdr:x>0.76155</cdr:x>
      <cdr:y>0.7962</cdr:y>
    </cdr:to>
    <cdr:cxnSp macro="">
      <cdr:nvCxnSpPr>
        <cdr:cNvPr id="4" name="Conector recto 3">
          <a:extLst xmlns:a="http://schemas.openxmlformats.org/drawingml/2006/main">
            <a:ext uri="{FF2B5EF4-FFF2-40B4-BE49-F238E27FC236}">
              <a16:creationId xmlns:a16="http://schemas.microsoft.com/office/drawing/2014/main" id="{60E545F2-B8E4-483A-A411-8FC4BA33204F}"/>
            </a:ext>
          </a:extLst>
        </cdr:cNvPr>
        <cdr:cNvCxnSpPr/>
      </cdr:nvCxnSpPr>
      <cdr:spPr>
        <a:xfrm xmlns:a="http://schemas.openxmlformats.org/drawingml/2006/main">
          <a:off x="5219700" y="476250"/>
          <a:ext cx="12700" cy="2451100"/>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0.48512</cdr:x>
      <cdr:y>0.1242</cdr:y>
    </cdr:from>
    <cdr:to>
      <cdr:x>0.73836</cdr:x>
      <cdr:y>0.18292</cdr:y>
    </cdr:to>
    <cdr:sp macro="" textlink="">
      <cdr:nvSpPr>
        <cdr:cNvPr id="5" name="CuadroTexto 4">
          <a:extLst xmlns:a="http://schemas.openxmlformats.org/drawingml/2006/main">
            <a:ext uri="{FF2B5EF4-FFF2-40B4-BE49-F238E27FC236}">
              <a16:creationId xmlns:a16="http://schemas.microsoft.com/office/drawing/2014/main" id="{9E24A832-6F57-49DD-A774-266C3790D1DA}"/>
            </a:ext>
          </a:extLst>
        </cdr:cNvPr>
        <cdr:cNvSpPr txBox="1"/>
      </cdr:nvSpPr>
      <cdr:spPr>
        <a:xfrm xmlns:a="http://schemas.openxmlformats.org/drawingml/2006/main">
          <a:off x="2643387" y="373521"/>
          <a:ext cx="1379889" cy="1765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0.52773</cdr:x>
      <cdr:y>0.40415</cdr:y>
    </cdr:from>
    <cdr:to>
      <cdr:x>0.52773</cdr:x>
      <cdr:y>0.46114</cdr:y>
    </cdr:to>
    <cdr:cxnSp macro="">
      <cdr:nvCxnSpPr>
        <cdr:cNvPr id="6" name="Conector recto 5">
          <a:extLst xmlns:a="http://schemas.openxmlformats.org/drawingml/2006/main">
            <a:ext uri="{FF2B5EF4-FFF2-40B4-BE49-F238E27FC236}">
              <a16:creationId xmlns:a16="http://schemas.microsoft.com/office/drawing/2014/main" id="{0DA11D9F-316D-460E-AB82-9A24D4AE3AE7}"/>
            </a:ext>
          </a:extLst>
        </cdr:cNvPr>
        <cdr:cNvCxnSpPr/>
      </cdr:nvCxnSpPr>
      <cdr:spPr>
        <a:xfrm xmlns:a="http://schemas.openxmlformats.org/drawingml/2006/main">
          <a:off x="3625850" y="1485900"/>
          <a:ext cx="0" cy="2095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0.53512</cdr:x>
      <cdr:y>0.40415</cdr:y>
    </cdr:from>
    <cdr:to>
      <cdr:x>0.53512</cdr:x>
      <cdr:y>0.48014</cdr:y>
    </cdr:to>
    <cdr:cxnSp macro="">
      <cdr:nvCxnSpPr>
        <cdr:cNvPr id="7" name="Conector recto 6">
          <a:extLst xmlns:a="http://schemas.openxmlformats.org/drawingml/2006/main">
            <a:ext uri="{FF2B5EF4-FFF2-40B4-BE49-F238E27FC236}">
              <a16:creationId xmlns:a16="http://schemas.microsoft.com/office/drawing/2014/main" id="{39419B93-8866-4C91-B459-24DC517E6FF5}"/>
            </a:ext>
          </a:extLst>
        </cdr:cNvPr>
        <cdr:cNvCxnSpPr/>
      </cdr:nvCxnSpPr>
      <cdr:spPr>
        <a:xfrm xmlns:a="http://schemas.openxmlformats.org/drawingml/2006/main">
          <a:off x="3676650" y="1485900"/>
          <a:ext cx="0" cy="279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0.54251</cdr:x>
      <cdr:y>0.40587</cdr:y>
    </cdr:from>
    <cdr:to>
      <cdr:x>0.54251</cdr:x>
      <cdr:y>0.49396</cdr:y>
    </cdr:to>
    <cdr:cxnSp macro="">
      <cdr:nvCxnSpPr>
        <cdr:cNvPr id="10" name="Conector recto 9">
          <a:extLst xmlns:a="http://schemas.openxmlformats.org/drawingml/2006/main">
            <a:ext uri="{FF2B5EF4-FFF2-40B4-BE49-F238E27FC236}">
              <a16:creationId xmlns:a16="http://schemas.microsoft.com/office/drawing/2014/main" id="{595B9C18-F7A8-4DBC-998B-036466E585D7}"/>
            </a:ext>
          </a:extLst>
        </cdr:cNvPr>
        <cdr:cNvCxnSpPr/>
      </cdr:nvCxnSpPr>
      <cdr:spPr>
        <a:xfrm xmlns:a="http://schemas.openxmlformats.org/drawingml/2006/main">
          <a:off x="3727450" y="1492250"/>
          <a:ext cx="0" cy="3238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0.54991</cdr:x>
      <cdr:y>0.40415</cdr:y>
    </cdr:from>
    <cdr:to>
      <cdr:x>0.54991</cdr:x>
      <cdr:y>0.51295</cdr:y>
    </cdr:to>
    <cdr:cxnSp macro="">
      <cdr:nvCxnSpPr>
        <cdr:cNvPr id="13" name="Conector recto 12">
          <a:extLst xmlns:a="http://schemas.openxmlformats.org/drawingml/2006/main">
            <a:ext uri="{FF2B5EF4-FFF2-40B4-BE49-F238E27FC236}">
              <a16:creationId xmlns:a16="http://schemas.microsoft.com/office/drawing/2014/main" id="{13FC14F1-5608-42D4-A5DC-B9377DB73D8C}"/>
            </a:ext>
          </a:extLst>
        </cdr:cNvPr>
        <cdr:cNvCxnSpPr/>
      </cdr:nvCxnSpPr>
      <cdr:spPr>
        <a:xfrm xmlns:a="http://schemas.openxmlformats.org/drawingml/2006/main">
          <a:off x="3778250" y="1485900"/>
          <a:ext cx="0" cy="4000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0.5573</cdr:x>
      <cdr:y>0.40587</cdr:y>
    </cdr:from>
    <cdr:to>
      <cdr:x>0.5573</cdr:x>
      <cdr:y>0.53368</cdr:y>
    </cdr:to>
    <cdr:cxnSp macro="">
      <cdr:nvCxnSpPr>
        <cdr:cNvPr id="16" name="Conector recto 15">
          <a:extLst xmlns:a="http://schemas.openxmlformats.org/drawingml/2006/main">
            <a:ext uri="{FF2B5EF4-FFF2-40B4-BE49-F238E27FC236}">
              <a16:creationId xmlns:a16="http://schemas.microsoft.com/office/drawing/2014/main" id="{B6204F5E-B02A-412A-8C92-173A9ADFD750}"/>
            </a:ext>
          </a:extLst>
        </cdr:cNvPr>
        <cdr:cNvCxnSpPr/>
      </cdr:nvCxnSpPr>
      <cdr:spPr>
        <a:xfrm xmlns:a="http://schemas.openxmlformats.org/drawingml/2006/main">
          <a:off x="3829050" y="1492250"/>
          <a:ext cx="0" cy="4699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0.5647</cdr:x>
      <cdr:y>0.40242</cdr:y>
    </cdr:from>
    <cdr:to>
      <cdr:x>0.5647</cdr:x>
      <cdr:y>0.5475</cdr:y>
    </cdr:to>
    <cdr:cxnSp macro="">
      <cdr:nvCxnSpPr>
        <cdr:cNvPr id="18" name="Conector recto 17">
          <a:extLst xmlns:a="http://schemas.openxmlformats.org/drawingml/2006/main">
            <a:ext uri="{FF2B5EF4-FFF2-40B4-BE49-F238E27FC236}">
              <a16:creationId xmlns:a16="http://schemas.microsoft.com/office/drawing/2014/main" id="{3002F352-1F7D-4E78-B774-01418C21A958}"/>
            </a:ext>
          </a:extLst>
        </cdr:cNvPr>
        <cdr:cNvCxnSpPr/>
      </cdr:nvCxnSpPr>
      <cdr:spPr>
        <a:xfrm xmlns:a="http://schemas.openxmlformats.org/drawingml/2006/main">
          <a:off x="3879850" y="1479550"/>
          <a:ext cx="0" cy="533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0.57209</cdr:x>
      <cdr:y>0.40242</cdr:y>
    </cdr:from>
    <cdr:to>
      <cdr:x>0.57209</cdr:x>
      <cdr:y>0.55268</cdr:y>
    </cdr:to>
    <cdr:cxnSp macro="">
      <cdr:nvCxnSpPr>
        <cdr:cNvPr id="20" name="Conector recto 19">
          <a:extLst xmlns:a="http://schemas.openxmlformats.org/drawingml/2006/main">
            <a:ext uri="{FF2B5EF4-FFF2-40B4-BE49-F238E27FC236}">
              <a16:creationId xmlns:a16="http://schemas.microsoft.com/office/drawing/2014/main" id="{1A1158F8-187E-4A83-B582-0D60779E1F5C}"/>
            </a:ext>
          </a:extLst>
        </cdr:cNvPr>
        <cdr:cNvCxnSpPr/>
      </cdr:nvCxnSpPr>
      <cdr:spPr>
        <a:xfrm xmlns:a="http://schemas.openxmlformats.org/drawingml/2006/main">
          <a:off x="3930650" y="1479550"/>
          <a:ext cx="0" cy="5524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0.57948</cdr:x>
      <cdr:y>0.40069</cdr:y>
    </cdr:from>
    <cdr:to>
      <cdr:x>0.57948</cdr:x>
      <cdr:y>0.55268</cdr:y>
    </cdr:to>
    <cdr:cxnSp macro="">
      <cdr:nvCxnSpPr>
        <cdr:cNvPr id="23" name="Conector recto 22">
          <a:extLst xmlns:a="http://schemas.openxmlformats.org/drawingml/2006/main">
            <a:ext uri="{FF2B5EF4-FFF2-40B4-BE49-F238E27FC236}">
              <a16:creationId xmlns:a16="http://schemas.microsoft.com/office/drawing/2014/main" id="{F6F05642-2E68-4A55-B050-4E5C61BA93B5}"/>
            </a:ext>
          </a:extLst>
        </cdr:cNvPr>
        <cdr:cNvCxnSpPr/>
      </cdr:nvCxnSpPr>
      <cdr:spPr>
        <a:xfrm xmlns:a="http://schemas.openxmlformats.org/drawingml/2006/main">
          <a:off x="3981450" y="1473200"/>
          <a:ext cx="0" cy="558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0.5878</cdr:x>
      <cdr:y>0.39724</cdr:y>
    </cdr:from>
    <cdr:to>
      <cdr:x>0.5878</cdr:x>
      <cdr:y>0.56131</cdr:y>
    </cdr:to>
    <cdr:cxnSp macro="">
      <cdr:nvCxnSpPr>
        <cdr:cNvPr id="25" name="Conector recto 24">
          <a:extLst xmlns:a="http://schemas.openxmlformats.org/drawingml/2006/main">
            <a:ext uri="{FF2B5EF4-FFF2-40B4-BE49-F238E27FC236}">
              <a16:creationId xmlns:a16="http://schemas.microsoft.com/office/drawing/2014/main" id="{F6D634E9-FE4A-4AD2-BB18-773340BFAD49}"/>
            </a:ext>
          </a:extLst>
        </cdr:cNvPr>
        <cdr:cNvCxnSpPr/>
      </cdr:nvCxnSpPr>
      <cdr:spPr>
        <a:xfrm xmlns:a="http://schemas.openxmlformats.org/drawingml/2006/main">
          <a:off x="4038600" y="1460500"/>
          <a:ext cx="0" cy="6032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0.59519</cdr:x>
      <cdr:y>0.39724</cdr:y>
    </cdr:from>
    <cdr:to>
      <cdr:x>0.59519</cdr:x>
      <cdr:y>0.56477</cdr:y>
    </cdr:to>
    <cdr:cxnSp macro="">
      <cdr:nvCxnSpPr>
        <cdr:cNvPr id="28" name="Conector recto 27">
          <a:extLst xmlns:a="http://schemas.openxmlformats.org/drawingml/2006/main">
            <a:ext uri="{FF2B5EF4-FFF2-40B4-BE49-F238E27FC236}">
              <a16:creationId xmlns:a16="http://schemas.microsoft.com/office/drawing/2014/main" id="{A0D423B3-3D86-4C91-AFC1-72433F50C3B1}"/>
            </a:ext>
          </a:extLst>
        </cdr:cNvPr>
        <cdr:cNvCxnSpPr/>
      </cdr:nvCxnSpPr>
      <cdr:spPr>
        <a:xfrm xmlns:a="http://schemas.openxmlformats.org/drawingml/2006/main">
          <a:off x="4089400" y="1460500"/>
          <a:ext cx="0" cy="6159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0.60259</cdr:x>
      <cdr:y>0.39206</cdr:y>
    </cdr:from>
    <cdr:to>
      <cdr:x>0.60259</cdr:x>
      <cdr:y>0.57858</cdr:y>
    </cdr:to>
    <cdr:cxnSp macro="">
      <cdr:nvCxnSpPr>
        <cdr:cNvPr id="37" name="Conector recto 36">
          <a:extLst xmlns:a="http://schemas.openxmlformats.org/drawingml/2006/main">
            <a:ext uri="{FF2B5EF4-FFF2-40B4-BE49-F238E27FC236}">
              <a16:creationId xmlns:a16="http://schemas.microsoft.com/office/drawing/2014/main" id="{C8C0D771-ACB0-4572-90B7-E40549C187F1}"/>
            </a:ext>
          </a:extLst>
        </cdr:cNvPr>
        <cdr:cNvCxnSpPr/>
      </cdr:nvCxnSpPr>
      <cdr:spPr>
        <a:xfrm xmlns:a="http://schemas.openxmlformats.org/drawingml/2006/main">
          <a:off x="4140200" y="14414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0.61091</cdr:x>
      <cdr:y>0.39206</cdr:y>
    </cdr:from>
    <cdr:to>
      <cdr:x>0.61091</cdr:x>
      <cdr:y>0.57858</cdr:y>
    </cdr:to>
    <cdr:cxnSp macro="">
      <cdr:nvCxnSpPr>
        <cdr:cNvPr id="39" name="Conector recto 38">
          <a:extLst xmlns:a="http://schemas.openxmlformats.org/drawingml/2006/main">
            <a:ext uri="{FF2B5EF4-FFF2-40B4-BE49-F238E27FC236}">
              <a16:creationId xmlns:a16="http://schemas.microsoft.com/office/drawing/2014/main" id="{51CF9FEA-47EC-4531-A67E-21547B9F61EB}"/>
            </a:ext>
          </a:extLst>
        </cdr:cNvPr>
        <cdr:cNvCxnSpPr/>
      </cdr:nvCxnSpPr>
      <cdr:spPr>
        <a:xfrm xmlns:a="http://schemas.openxmlformats.org/drawingml/2006/main">
          <a:off x="4197350" y="14414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0.6183</cdr:x>
      <cdr:y>0.3886</cdr:y>
    </cdr:from>
    <cdr:to>
      <cdr:x>0.6183</cdr:x>
      <cdr:y>0.57513</cdr:y>
    </cdr:to>
    <cdr:cxnSp macro="">
      <cdr:nvCxnSpPr>
        <cdr:cNvPr id="40" name="Conector recto 39">
          <a:extLst xmlns:a="http://schemas.openxmlformats.org/drawingml/2006/main">
            <a:ext uri="{FF2B5EF4-FFF2-40B4-BE49-F238E27FC236}">
              <a16:creationId xmlns:a16="http://schemas.microsoft.com/office/drawing/2014/main" id="{8295F6E2-CB20-4027-9B06-083616509EE6}"/>
            </a:ext>
          </a:extLst>
        </cdr:cNvPr>
        <cdr:cNvCxnSpPr/>
      </cdr:nvCxnSpPr>
      <cdr:spPr>
        <a:xfrm xmlns:a="http://schemas.openxmlformats.org/drawingml/2006/main">
          <a:off x="4248150" y="1428750"/>
          <a:ext cx="0" cy="6858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0.62569</cdr:x>
      <cdr:y>0.38515</cdr:y>
    </cdr:from>
    <cdr:to>
      <cdr:x>0.62569</cdr:x>
      <cdr:y>0.55613</cdr:y>
    </cdr:to>
    <cdr:cxnSp macro="">
      <cdr:nvCxnSpPr>
        <cdr:cNvPr id="41" name="Conector recto 40">
          <a:extLst xmlns:a="http://schemas.openxmlformats.org/drawingml/2006/main">
            <a:ext uri="{FF2B5EF4-FFF2-40B4-BE49-F238E27FC236}">
              <a16:creationId xmlns:a16="http://schemas.microsoft.com/office/drawing/2014/main" id="{60CED0CA-AB34-4AC9-8FBB-81512C366F5A}"/>
            </a:ext>
          </a:extLst>
        </cdr:cNvPr>
        <cdr:cNvCxnSpPr/>
      </cdr:nvCxnSpPr>
      <cdr:spPr>
        <a:xfrm xmlns:a="http://schemas.openxmlformats.org/drawingml/2006/main">
          <a:off x="4298950" y="1416050"/>
          <a:ext cx="0" cy="6286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0.63309</cdr:x>
      <cdr:y>0.38342</cdr:y>
    </cdr:from>
    <cdr:to>
      <cdr:x>0.63309</cdr:x>
      <cdr:y>0.53713</cdr:y>
    </cdr:to>
    <cdr:cxnSp macro="">
      <cdr:nvCxnSpPr>
        <cdr:cNvPr id="44" name="Conector recto 43">
          <a:extLst xmlns:a="http://schemas.openxmlformats.org/drawingml/2006/main">
            <a:ext uri="{FF2B5EF4-FFF2-40B4-BE49-F238E27FC236}">
              <a16:creationId xmlns:a16="http://schemas.microsoft.com/office/drawing/2014/main" id="{808C7EEC-27E6-4042-90F4-F4BFFB4ABF05}"/>
            </a:ext>
          </a:extLst>
        </cdr:cNvPr>
        <cdr:cNvCxnSpPr/>
      </cdr:nvCxnSpPr>
      <cdr:spPr>
        <a:xfrm xmlns:a="http://schemas.openxmlformats.org/drawingml/2006/main">
          <a:off x="4349750" y="1409700"/>
          <a:ext cx="0" cy="5651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0.64233</cdr:x>
      <cdr:y>0.38169</cdr:y>
    </cdr:from>
    <cdr:to>
      <cdr:x>0.64233</cdr:x>
      <cdr:y>0.52332</cdr:y>
    </cdr:to>
    <cdr:cxnSp macro="">
      <cdr:nvCxnSpPr>
        <cdr:cNvPr id="46" name="Conector recto 45">
          <a:extLst xmlns:a="http://schemas.openxmlformats.org/drawingml/2006/main">
            <a:ext uri="{FF2B5EF4-FFF2-40B4-BE49-F238E27FC236}">
              <a16:creationId xmlns:a16="http://schemas.microsoft.com/office/drawing/2014/main" id="{996C36FE-3AD1-4210-A6C4-24A311555CC4}"/>
            </a:ext>
          </a:extLst>
        </cdr:cNvPr>
        <cdr:cNvCxnSpPr/>
      </cdr:nvCxnSpPr>
      <cdr:spPr>
        <a:xfrm xmlns:a="http://schemas.openxmlformats.org/drawingml/2006/main">
          <a:off x="4413250" y="1403350"/>
          <a:ext cx="0" cy="5207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0.65157</cdr:x>
      <cdr:y>0.37651</cdr:y>
    </cdr:from>
    <cdr:to>
      <cdr:x>0.65157</cdr:x>
      <cdr:y>0.50432</cdr:y>
    </cdr:to>
    <cdr:cxnSp macro="">
      <cdr:nvCxnSpPr>
        <cdr:cNvPr id="48" name="Conector recto 47">
          <a:extLst xmlns:a="http://schemas.openxmlformats.org/drawingml/2006/main">
            <a:ext uri="{FF2B5EF4-FFF2-40B4-BE49-F238E27FC236}">
              <a16:creationId xmlns:a16="http://schemas.microsoft.com/office/drawing/2014/main" id="{4EDC1169-12CF-4D03-8A69-0ACA0854710F}"/>
            </a:ext>
          </a:extLst>
        </cdr:cNvPr>
        <cdr:cNvCxnSpPr/>
      </cdr:nvCxnSpPr>
      <cdr:spPr>
        <a:xfrm xmlns:a="http://schemas.openxmlformats.org/drawingml/2006/main">
          <a:off x="4476750" y="1384300"/>
          <a:ext cx="0" cy="4699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0.65989</cdr:x>
      <cdr:y>0.37478</cdr:y>
    </cdr:from>
    <cdr:to>
      <cdr:x>0.65989</cdr:x>
      <cdr:y>0.4905</cdr:y>
    </cdr:to>
    <cdr:cxnSp macro="">
      <cdr:nvCxnSpPr>
        <cdr:cNvPr id="50" name="Conector recto 49">
          <a:extLst xmlns:a="http://schemas.openxmlformats.org/drawingml/2006/main">
            <a:ext uri="{FF2B5EF4-FFF2-40B4-BE49-F238E27FC236}">
              <a16:creationId xmlns:a16="http://schemas.microsoft.com/office/drawing/2014/main" id="{2FFA2B39-BFA8-4DC4-9ED5-2099380F26C8}"/>
            </a:ext>
          </a:extLst>
        </cdr:cNvPr>
        <cdr:cNvCxnSpPr/>
      </cdr:nvCxnSpPr>
      <cdr:spPr>
        <a:xfrm xmlns:a="http://schemas.openxmlformats.org/drawingml/2006/main">
          <a:off x="4533900" y="1377950"/>
          <a:ext cx="0" cy="4254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0.52033</cdr:x>
      <cdr:y>0.4076</cdr:y>
    </cdr:from>
    <cdr:to>
      <cdr:x>0.52033</cdr:x>
      <cdr:y>0.44041</cdr:y>
    </cdr:to>
    <cdr:cxnSp macro="">
      <cdr:nvCxnSpPr>
        <cdr:cNvPr id="52" name="Conector recto 51">
          <a:extLst xmlns:a="http://schemas.openxmlformats.org/drawingml/2006/main">
            <a:ext uri="{FF2B5EF4-FFF2-40B4-BE49-F238E27FC236}">
              <a16:creationId xmlns:a16="http://schemas.microsoft.com/office/drawing/2014/main" id="{A173127D-E54F-415B-A91B-E8B8B4E76721}"/>
            </a:ext>
          </a:extLst>
        </cdr:cNvPr>
        <cdr:cNvCxnSpPr/>
      </cdr:nvCxnSpPr>
      <cdr:spPr>
        <a:xfrm xmlns:a="http://schemas.openxmlformats.org/drawingml/2006/main" flipV="1">
          <a:off x="3575050" y="1498600"/>
          <a:ext cx="0" cy="12065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0.62405</cdr:x>
      <cdr:y>0.51986</cdr:y>
    </cdr:from>
    <cdr:to>
      <cdr:x>0.66193</cdr:x>
      <cdr:y>0.60289</cdr:y>
    </cdr:to>
    <cdr:cxnSp macro="">
      <cdr:nvCxnSpPr>
        <cdr:cNvPr id="24" name="Conector recto de flecha 23">
          <a:extLst xmlns:a="http://schemas.openxmlformats.org/drawingml/2006/main">
            <a:ext uri="{FF2B5EF4-FFF2-40B4-BE49-F238E27FC236}">
              <a16:creationId xmlns:a16="http://schemas.microsoft.com/office/drawing/2014/main" id="{5CEE1991-2020-4711-856E-CF0F98695480}"/>
            </a:ext>
          </a:extLst>
        </cdr:cNvPr>
        <cdr:cNvCxnSpPr/>
      </cdr:nvCxnSpPr>
      <cdr:spPr>
        <a:xfrm xmlns:a="http://schemas.openxmlformats.org/drawingml/2006/main">
          <a:off x="4184650" y="1828800"/>
          <a:ext cx="254000" cy="2921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0.62975</cdr:x>
      <cdr:y>0.58475</cdr:y>
    </cdr:from>
    <cdr:to>
      <cdr:x>0.74497</cdr:x>
      <cdr:y>0.7236</cdr:y>
    </cdr:to>
    <cdr:sp macro="" textlink="">
      <cdr:nvSpPr>
        <cdr:cNvPr id="26" name="CuadroTexto 8">
          <a:extLst xmlns:a="http://schemas.openxmlformats.org/drawingml/2006/main">
            <a:ext uri="{FF2B5EF4-FFF2-40B4-BE49-F238E27FC236}">
              <a16:creationId xmlns:a16="http://schemas.microsoft.com/office/drawing/2014/main" id="{A79EDD58-251D-4935-94E9-61CBBAAB6EE6}"/>
            </a:ext>
          </a:extLst>
        </cdr:cNvPr>
        <cdr:cNvSpPr txBox="1"/>
      </cdr:nvSpPr>
      <cdr:spPr>
        <a:xfrm xmlns:a="http://schemas.openxmlformats.org/drawingml/2006/main">
          <a:off x="3431466" y="1758539"/>
          <a:ext cx="627836" cy="41757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a:t>
          </a:r>
        </a:p>
      </cdr:txBody>
    </cdr:sp>
  </cdr:relSizeAnchor>
  <cdr:relSizeAnchor xmlns:cdr="http://schemas.openxmlformats.org/drawingml/2006/chartDrawing">
    <cdr:from>
      <cdr:x>0.2334</cdr:x>
      <cdr:y>0.16804</cdr:y>
    </cdr:from>
    <cdr:to>
      <cdr:x>0.42918</cdr:x>
      <cdr:y>0.33666</cdr:y>
    </cdr:to>
    <cdr:sp macro="" textlink="">
      <cdr:nvSpPr>
        <cdr:cNvPr id="27" name="CuadroTexto 8">
          <a:extLst xmlns:a="http://schemas.openxmlformats.org/drawingml/2006/main">
            <a:ext uri="{FF2B5EF4-FFF2-40B4-BE49-F238E27FC236}">
              <a16:creationId xmlns:a16="http://schemas.microsoft.com/office/drawing/2014/main" id="{87A89AF1-A984-440F-BBD5-88C06529CCAC}"/>
            </a:ext>
          </a:extLst>
        </cdr:cNvPr>
        <cdr:cNvSpPr txBox="1"/>
      </cdr:nvSpPr>
      <cdr:spPr>
        <a:xfrm xmlns:a="http://schemas.openxmlformats.org/drawingml/2006/main">
          <a:off x="1271762" y="505356"/>
          <a:ext cx="1066836" cy="50711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pre-COVID</a:t>
          </a:r>
          <a:r>
            <a:rPr lang="es-MX" sz="800" b="1" baseline="0">
              <a:latin typeface="Times New Roman" panose="02020603050405020304" pitchFamily="18" charset="0"/>
              <a:cs typeface="Times New Roman" panose="02020603050405020304" pitchFamily="18" charset="0"/>
            </a:rPr>
            <a:t>-</a:t>
          </a:r>
          <a:r>
            <a:rPr lang="es-MX" sz="800" b="1">
              <a:latin typeface="Times New Roman" panose="02020603050405020304" pitchFamily="18" charset="0"/>
              <a:cs typeface="Times New Roman" panose="02020603050405020304" pitchFamily="18" charset="0"/>
            </a:rPr>
            <a:t>19 employment level</a:t>
          </a:r>
        </a:p>
      </cdr:txBody>
    </cdr:sp>
  </cdr:relSizeAnchor>
  <cdr:relSizeAnchor xmlns:cdr="http://schemas.openxmlformats.org/drawingml/2006/chartDrawing">
    <cdr:from>
      <cdr:x>0.40957</cdr:x>
      <cdr:y>0.23242</cdr:y>
    </cdr:from>
    <cdr:to>
      <cdr:x>0.45619</cdr:x>
      <cdr:y>0.33141</cdr:y>
    </cdr:to>
    <cdr:cxnSp macro="">
      <cdr:nvCxnSpPr>
        <cdr:cNvPr id="29" name="Conector recto de flecha 28">
          <a:extLst xmlns:a="http://schemas.openxmlformats.org/drawingml/2006/main">
            <a:ext uri="{FF2B5EF4-FFF2-40B4-BE49-F238E27FC236}">
              <a16:creationId xmlns:a16="http://schemas.microsoft.com/office/drawing/2014/main" id="{4228BA6D-807F-4A35-93E1-B3DA6F25DBFA}"/>
            </a:ext>
          </a:extLst>
        </cdr:cNvPr>
        <cdr:cNvCxnSpPr/>
      </cdr:nvCxnSpPr>
      <cdr:spPr>
        <a:xfrm xmlns:a="http://schemas.openxmlformats.org/drawingml/2006/main">
          <a:off x="2231700" y="698968"/>
          <a:ext cx="254023" cy="297711"/>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0.70887</cdr:x>
      <cdr:y>0.12211</cdr:y>
    </cdr:from>
    <cdr:to>
      <cdr:x>0.70899</cdr:x>
      <cdr:y>0.74566</cdr:y>
    </cdr:to>
    <cdr:cxnSp macro="">
      <cdr:nvCxnSpPr>
        <cdr:cNvPr id="6" name="Conector recto 5">
          <a:extLst xmlns:a="http://schemas.openxmlformats.org/drawingml/2006/main">
            <a:ext uri="{FF2B5EF4-FFF2-40B4-BE49-F238E27FC236}">
              <a16:creationId xmlns:a16="http://schemas.microsoft.com/office/drawing/2014/main" id="{EAFBD626-C5C3-4447-838F-4147267C59FC}"/>
            </a:ext>
          </a:extLst>
        </cdr:cNvPr>
        <cdr:cNvCxnSpPr/>
      </cdr:nvCxnSpPr>
      <cdr:spPr>
        <a:xfrm xmlns:a="http://schemas.openxmlformats.org/drawingml/2006/main">
          <a:off x="4856929" y="402432"/>
          <a:ext cx="821" cy="2055018"/>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0.45564</cdr:x>
      <cdr:y>0.13366</cdr:y>
    </cdr:from>
    <cdr:to>
      <cdr:x>0.70887</cdr:x>
      <cdr:y>0.18977</cdr:y>
    </cdr:to>
    <cdr:sp macro="" textlink="">
      <cdr:nvSpPr>
        <cdr:cNvPr id="7" name="CuadroTexto 1">
          <a:extLst xmlns:a="http://schemas.openxmlformats.org/drawingml/2006/main">
            <a:ext uri="{FF2B5EF4-FFF2-40B4-BE49-F238E27FC236}">
              <a16:creationId xmlns:a16="http://schemas.microsoft.com/office/drawing/2014/main" id="{D5828BE4-64C9-40D1-BE36-C5A4DAB290C3}"/>
            </a:ext>
          </a:extLst>
        </cdr:cNvPr>
        <cdr:cNvSpPr txBox="1"/>
      </cdr:nvSpPr>
      <cdr:spPr>
        <a:xfrm xmlns:a="http://schemas.openxmlformats.org/drawingml/2006/main">
          <a:off x="3130550" y="514350"/>
          <a:ext cx="1739900" cy="215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0.622</cdr:x>
      <cdr:y>0.47195</cdr:y>
    </cdr:from>
    <cdr:to>
      <cdr:x>0.65434</cdr:x>
      <cdr:y>0.5429</cdr:y>
    </cdr:to>
    <cdr:cxnSp macro="">
      <cdr:nvCxnSpPr>
        <cdr:cNvPr id="52" name="Conector recto de flecha 51">
          <a:extLst xmlns:a="http://schemas.openxmlformats.org/drawingml/2006/main">
            <a:ext uri="{FF2B5EF4-FFF2-40B4-BE49-F238E27FC236}">
              <a16:creationId xmlns:a16="http://schemas.microsoft.com/office/drawing/2014/main" id="{3056B81E-6508-4DE2-9FC6-C04DBED2A2D2}"/>
            </a:ext>
          </a:extLst>
        </cdr:cNvPr>
        <cdr:cNvCxnSpPr/>
      </cdr:nvCxnSpPr>
      <cdr:spPr>
        <a:xfrm xmlns:a="http://schemas.openxmlformats.org/drawingml/2006/main">
          <a:off x="4273550" y="1816100"/>
          <a:ext cx="222250" cy="27305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0.55544</cdr:x>
      <cdr:y>0.36581</cdr:y>
    </cdr:from>
    <cdr:to>
      <cdr:x>0.55556</cdr:x>
      <cdr:y>0.39615</cdr:y>
    </cdr:to>
    <cdr:cxnSp macro="">
      <cdr:nvCxnSpPr>
        <cdr:cNvPr id="9" name="Conector recto 8">
          <a:extLst xmlns:a="http://schemas.openxmlformats.org/drawingml/2006/main">
            <a:ext uri="{FF2B5EF4-FFF2-40B4-BE49-F238E27FC236}">
              <a16:creationId xmlns:a16="http://schemas.microsoft.com/office/drawing/2014/main" id="{B6C0BF1F-E535-41EB-A2D9-9F1245022129}"/>
            </a:ext>
          </a:extLst>
        </cdr:cNvPr>
        <cdr:cNvCxnSpPr/>
      </cdr:nvCxnSpPr>
      <cdr:spPr>
        <a:xfrm xmlns:a="http://schemas.openxmlformats.org/drawingml/2006/main">
          <a:off x="3809210" y="1207889"/>
          <a:ext cx="790" cy="10021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0.56469</cdr:x>
      <cdr:y>0.35769</cdr:y>
    </cdr:from>
    <cdr:to>
      <cdr:x>0.56481</cdr:x>
      <cdr:y>0.4145</cdr:y>
    </cdr:to>
    <cdr:cxnSp macro="">
      <cdr:nvCxnSpPr>
        <cdr:cNvPr id="11" name="Conector recto 10">
          <a:extLst xmlns:a="http://schemas.openxmlformats.org/drawingml/2006/main">
            <a:ext uri="{FF2B5EF4-FFF2-40B4-BE49-F238E27FC236}">
              <a16:creationId xmlns:a16="http://schemas.microsoft.com/office/drawing/2014/main" id="{F1389E93-B0DE-4440-9ADB-5DAC68E777A9}"/>
            </a:ext>
          </a:extLst>
        </cdr:cNvPr>
        <cdr:cNvCxnSpPr/>
      </cdr:nvCxnSpPr>
      <cdr:spPr>
        <a:xfrm xmlns:a="http://schemas.openxmlformats.org/drawingml/2006/main" flipH="1">
          <a:off x="3872660" y="1181100"/>
          <a:ext cx="840" cy="18757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0.57579</cdr:x>
      <cdr:y>0.35481</cdr:y>
    </cdr:from>
    <cdr:to>
      <cdr:x>0.57579</cdr:x>
      <cdr:y>0.44557</cdr:y>
    </cdr:to>
    <cdr:cxnSp macro="">
      <cdr:nvCxnSpPr>
        <cdr:cNvPr id="13" name="Conector recto 12">
          <a:extLst xmlns:a="http://schemas.openxmlformats.org/drawingml/2006/main">
            <a:ext uri="{FF2B5EF4-FFF2-40B4-BE49-F238E27FC236}">
              <a16:creationId xmlns:a16="http://schemas.microsoft.com/office/drawing/2014/main" id="{BEE70964-D756-4CFD-A9BA-F12516045E00}"/>
            </a:ext>
          </a:extLst>
        </cdr:cNvPr>
        <cdr:cNvCxnSpPr/>
      </cdr:nvCxnSpPr>
      <cdr:spPr>
        <a:xfrm xmlns:a="http://schemas.openxmlformats.org/drawingml/2006/main">
          <a:off x="3948740" y="1171593"/>
          <a:ext cx="0" cy="29968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0.58504</cdr:x>
      <cdr:y>0.35962</cdr:y>
    </cdr:from>
    <cdr:to>
      <cdr:x>0.58519</cdr:x>
      <cdr:y>0.46895</cdr:y>
    </cdr:to>
    <cdr:cxnSp macro="">
      <cdr:nvCxnSpPr>
        <cdr:cNvPr id="16" name="Conector recto 15">
          <a:extLst xmlns:a="http://schemas.openxmlformats.org/drawingml/2006/main">
            <a:ext uri="{FF2B5EF4-FFF2-40B4-BE49-F238E27FC236}">
              <a16:creationId xmlns:a16="http://schemas.microsoft.com/office/drawing/2014/main" id="{4902FADD-95DF-4E71-8D7F-9017C5E6B265}"/>
            </a:ext>
          </a:extLst>
        </cdr:cNvPr>
        <cdr:cNvCxnSpPr/>
      </cdr:nvCxnSpPr>
      <cdr:spPr>
        <a:xfrm xmlns:a="http://schemas.openxmlformats.org/drawingml/2006/main" flipH="1">
          <a:off x="4012189" y="1187450"/>
          <a:ext cx="1011" cy="36101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0.59519</cdr:x>
      <cdr:y>0.35975</cdr:y>
    </cdr:from>
    <cdr:to>
      <cdr:x>0.59537</cdr:x>
      <cdr:y>0.48462</cdr:y>
    </cdr:to>
    <cdr:cxnSp macro="">
      <cdr:nvCxnSpPr>
        <cdr:cNvPr id="23" name="Conector recto 22">
          <a:extLst xmlns:a="http://schemas.openxmlformats.org/drawingml/2006/main">
            <a:ext uri="{FF2B5EF4-FFF2-40B4-BE49-F238E27FC236}">
              <a16:creationId xmlns:a16="http://schemas.microsoft.com/office/drawing/2014/main" id="{B1CD534A-18EF-4035-8924-5F0300C4A194}"/>
            </a:ext>
          </a:extLst>
        </cdr:cNvPr>
        <cdr:cNvCxnSpPr/>
      </cdr:nvCxnSpPr>
      <cdr:spPr>
        <a:xfrm xmlns:a="http://schemas.openxmlformats.org/drawingml/2006/main">
          <a:off x="4081828" y="1187900"/>
          <a:ext cx="1222" cy="4123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0.60351</cdr:x>
      <cdr:y>0.35453</cdr:y>
    </cdr:from>
    <cdr:to>
      <cdr:x>0.6037</cdr:x>
      <cdr:y>0.50577</cdr:y>
    </cdr:to>
    <cdr:cxnSp macro="">
      <cdr:nvCxnSpPr>
        <cdr:cNvPr id="26" name="Conector recto 25">
          <a:extLst xmlns:a="http://schemas.openxmlformats.org/drawingml/2006/main">
            <a:ext uri="{FF2B5EF4-FFF2-40B4-BE49-F238E27FC236}">
              <a16:creationId xmlns:a16="http://schemas.microsoft.com/office/drawing/2014/main" id="{E72A206F-F694-4E5B-A217-99CBE027FEAD}"/>
            </a:ext>
          </a:extLst>
        </cdr:cNvPr>
        <cdr:cNvCxnSpPr/>
      </cdr:nvCxnSpPr>
      <cdr:spPr>
        <a:xfrm xmlns:a="http://schemas.openxmlformats.org/drawingml/2006/main">
          <a:off x="4138859" y="1170653"/>
          <a:ext cx="1341" cy="499397"/>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0.61275</cdr:x>
      <cdr:y>0.34437</cdr:y>
    </cdr:from>
    <cdr:to>
      <cdr:x>0.61275</cdr:x>
      <cdr:y>0.53909</cdr:y>
    </cdr:to>
    <cdr:cxnSp macro="">
      <cdr:nvCxnSpPr>
        <cdr:cNvPr id="29" name="Conector recto 28">
          <a:extLst xmlns:a="http://schemas.openxmlformats.org/drawingml/2006/main">
            <a:ext uri="{FF2B5EF4-FFF2-40B4-BE49-F238E27FC236}">
              <a16:creationId xmlns:a16="http://schemas.microsoft.com/office/drawing/2014/main" id="{523594D8-DBEC-4902-899F-7E479D404483}"/>
            </a:ext>
          </a:extLst>
        </cdr:cNvPr>
        <cdr:cNvCxnSpPr/>
      </cdr:nvCxnSpPr>
      <cdr:spPr>
        <a:xfrm xmlns:a="http://schemas.openxmlformats.org/drawingml/2006/main">
          <a:off x="4202240" y="1137100"/>
          <a:ext cx="0" cy="64296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0.62014</cdr:x>
      <cdr:y>0.34766</cdr:y>
    </cdr:from>
    <cdr:to>
      <cdr:x>0.62014</cdr:x>
      <cdr:y>0.51762</cdr:y>
    </cdr:to>
    <cdr:cxnSp macro="">
      <cdr:nvCxnSpPr>
        <cdr:cNvPr id="30" name="Conector recto 29">
          <a:extLst xmlns:a="http://schemas.openxmlformats.org/drawingml/2006/main">
            <a:ext uri="{FF2B5EF4-FFF2-40B4-BE49-F238E27FC236}">
              <a16:creationId xmlns:a16="http://schemas.microsoft.com/office/drawing/2014/main" id="{CEE274E2-A77B-4F42-93FA-B0F874809E15}"/>
            </a:ext>
          </a:extLst>
        </cdr:cNvPr>
        <cdr:cNvCxnSpPr/>
      </cdr:nvCxnSpPr>
      <cdr:spPr>
        <a:xfrm xmlns:a="http://schemas.openxmlformats.org/drawingml/2006/main">
          <a:off x="4252948" y="1147958"/>
          <a:ext cx="0" cy="56120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0.62939</cdr:x>
      <cdr:y>0.34271</cdr:y>
    </cdr:from>
    <cdr:to>
      <cdr:x>0.62939</cdr:x>
      <cdr:y>0.48792</cdr:y>
    </cdr:to>
    <cdr:cxnSp macro="">
      <cdr:nvCxnSpPr>
        <cdr:cNvPr id="32" name="Conector recto 31">
          <a:extLst xmlns:a="http://schemas.openxmlformats.org/drawingml/2006/main">
            <a:ext uri="{FF2B5EF4-FFF2-40B4-BE49-F238E27FC236}">
              <a16:creationId xmlns:a16="http://schemas.microsoft.com/office/drawing/2014/main" id="{2729E0D8-1176-4411-92C2-80A97D5D89E9}"/>
            </a:ext>
          </a:extLst>
        </cdr:cNvPr>
        <cdr:cNvCxnSpPr/>
      </cdr:nvCxnSpPr>
      <cdr:spPr>
        <a:xfrm xmlns:a="http://schemas.openxmlformats.org/drawingml/2006/main">
          <a:off x="4316357" y="1131613"/>
          <a:ext cx="0" cy="47948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0.63771</cdr:x>
      <cdr:y>0.34463</cdr:y>
    </cdr:from>
    <cdr:to>
      <cdr:x>0.63771</cdr:x>
      <cdr:y>0.45684</cdr:y>
    </cdr:to>
    <cdr:cxnSp macro="">
      <cdr:nvCxnSpPr>
        <cdr:cNvPr id="34" name="Conector recto 33">
          <a:extLst xmlns:a="http://schemas.openxmlformats.org/drawingml/2006/main">
            <a:ext uri="{FF2B5EF4-FFF2-40B4-BE49-F238E27FC236}">
              <a16:creationId xmlns:a16="http://schemas.microsoft.com/office/drawing/2014/main" id="{6E579ECA-B495-4A28-A7ED-04A3203F1514}"/>
            </a:ext>
          </a:extLst>
        </cdr:cNvPr>
        <cdr:cNvCxnSpPr/>
      </cdr:nvCxnSpPr>
      <cdr:spPr>
        <a:xfrm xmlns:a="http://schemas.openxmlformats.org/drawingml/2006/main">
          <a:off x="4373415" y="1137963"/>
          <a:ext cx="0" cy="37051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0.6451</cdr:x>
      <cdr:y>0.33748</cdr:y>
    </cdr:from>
    <cdr:to>
      <cdr:x>0.6451</cdr:x>
      <cdr:y>0.42493</cdr:y>
    </cdr:to>
    <cdr:cxnSp macro="">
      <cdr:nvCxnSpPr>
        <cdr:cNvPr id="36" name="Conector recto 35">
          <a:extLst xmlns:a="http://schemas.openxmlformats.org/drawingml/2006/main">
            <a:ext uri="{FF2B5EF4-FFF2-40B4-BE49-F238E27FC236}">
              <a16:creationId xmlns:a16="http://schemas.microsoft.com/office/drawing/2014/main" id="{461CB4B9-3972-4E15-B549-7358A756076D}"/>
            </a:ext>
          </a:extLst>
        </cdr:cNvPr>
        <cdr:cNvCxnSpPr/>
      </cdr:nvCxnSpPr>
      <cdr:spPr>
        <a:xfrm xmlns:a="http://schemas.openxmlformats.org/drawingml/2006/main">
          <a:off x="4424096" y="1114367"/>
          <a:ext cx="0" cy="28875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0.65249</cdr:x>
      <cdr:y>0.33445</cdr:y>
    </cdr:from>
    <cdr:to>
      <cdr:x>0.65249</cdr:x>
      <cdr:y>0.40046</cdr:y>
    </cdr:to>
    <cdr:cxnSp macro="">
      <cdr:nvCxnSpPr>
        <cdr:cNvPr id="38" name="Conector recto 37">
          <a:extLst xmlns:a="http://schemas.openxmlformats.org/drawingml/2006/main">
            <a:ext uri="{FF2B5EF4-FFF2-40B4-BE49-F238E27FC236}">
              <a16:creationId xmlns:a16="http://schemas.microsoft.com/office/drawing/2014/main" id="{4ABEBE53-0AB8-4FB2-8553-F241C2AEE353}"/>
            </a:ext>
          </a:extLst>
        </cdr:cNvPr>
        <cdr:cNvCxnSpPr/>
      </cdr:nvCxnSpPr>
      <cdr:spPr>
        <a:xfrm xmlns:a="http://schemas.openxmlformats.org/drawingml/2006/main">
          <a:off x="4474804" y="1104339"/>
          <a:ext cx="0" cy="21796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0.66266</cdr:x>
      <cdr:y>0.32757</cdr:y>
    </cdr:from>
    <cdr:to>
      <cdr:x>0.66266</cdr:x>
      <cdr:y>0.38368</cdr:y>
    </cdr:to>
    <cdr:cxnSp macro="">
      <cdr:nvCxnSpPr>
        <cdr:cNvPr id="40" name="Conector recto 39">
          <a:extLst xmlns:a="http://schemas.openxmlformats.org/drawingml/2006/main">
            <a:ext uri="{FF2B5EF4-FFF2-40B4-BE49-F238E27FC236}">
              <a16:creationId xmlns:a16="http://schemas.microsoft.com/office/drawing/2014/main" id="{06BFC4DC-B707-4816-8A07-4B68DC0D4954}"/>
            </a:ext>
          </a:extLst>
        </cdr:cNvPr>
        <cdr:cNvCxnSpPr/>
      </cdr:nvCxnSpPr>
      <cdr:spPr>
        <a:xfrm xmlns:a="http://schemas.openxmlformats.org/drawingml/2006/main">
          <a:off x="4544548" y="1081644"/>
          <a:ext cx="0" cy="18527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0.60256</cdr:x>
      <cdr:y>0.55267</cdr:y>
    </cdr:from>
    <cdr:to>
      <cdr:x>0.71459</cdr:x>
      <cdr:y>0.6541</cdr:y>
    </cdr:to>
    <cdr:sp macro="" textlink="">
      <cdr:nvSpPr>
        <cdr:cNvPr id="22" name="CuadroTexto 9">
          <a:extLst xmlns:a="http://schemas.openxmlformats.org/drawingml/2006/main">
            <a:ext uri="{FF2B5EF4-FFF2-40B4-BE49-F238E27FC236}">
              <a16:creationId xmlns:a16="http://schemas.microsoft.com/office/drawing/2014/main" id="{47D1F88C-7BB5-42AE-8DBB-0D2D81E44275}"/>
            </a:ext>
          </a:extLst>
        </cdr:cNvPr>
        <cdr:cNvSpPr txBox="1"/>
      </cdr:nvSpPr>
      <cdr:spPr>
        <a:xfrm xmlns:a="http://schemas.openxmlformats.org/drawingml/2006/main">
          <a:off x="3324611" y="1484859"/>
          <a:ext cx="618149" cy="2725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a:t>
          </a:r>
        </a:p>
      </cdr:txBody>
    </cdr:sp>
  </cdr:relSizeAnchor>
  <cdr:relSizeAnchor xmlns:cdr="http://schemas.openxmlformats.org/drawingml/2006/chartDrawing">
    <cdr:from>
      <cdr:x>0.46803</cdr:x>
      <cdr:y>0.12331</cdr:y>
    </cdr:from>
    <cdr:to>
      <cdr:x>0.46815</cdr:x>
      <cdr:y>0.74687</cdr:y>
    </cdr:to>
    <cdr:cxnSp macro="">
      <cdr:nvCxnSpPr>
        <cdr:cNvPr id="25" name="Conector recto 24">
          <a:extLst xmlns:a="http://schemas.openxmlformats.org/drawingml/2006/main">
            <a:ext uri="{FF2B5EF4-FFF2-40B4-BE49-F238E27FC236}">
              <a16:creationId xmlns:a16="http://schemas.microsoft.com/office/drawing/2014/main" id="{BB8EBE36-F3D0-4741-AE1A-B62428871AFF}"/>
            </a:ext>
          </a:extLst>
        </cdr:cNvPr>
        <cdr:cNvCxnSpPr/>
      </cdr:nvCxnSpPr>
      <cdr:spPr>
        <a:xfrm xmlns:a="http://schemas.openxmlformats.org/drawingml/2006/main">
          <a:off x="3206750" y="406400"/>
          <a:ext cx="821" cy="2055018"/>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0.25557</cdr:x>
      <cdr:y>0.2058</cdr:y>
    </cdr:from>
    <cdr:to>
      <cdr:x>0.44804</cdr:x>
      <cdr:y>0.38307</cdr:y>
    </cdr:to>
    <cdr:sp macro="" textlink="">
      <cdr:nvSpPr>
        <cdr:cNvPr id="20" name="CuadroTexto 8">
          <a:extLst xmlns:a="http://schemas.openxmlformats.org/drawingml/2006/main">
            <a:ext uri="{FF2B5EF4-FFF2-40B4-BE49-F238E27FC236}">
              <a16:creationId xmlns:a16="http://schemas.microsoft.com/office/drawing/2014/main" id="{4CD54772-659E-419D-A00E-A96DA2EC84F6}"/>
            </a:ext>
          </a:extLst>
        </cdr:cNvPr>
        <cdr:cNvSpPr txBox="1"/>
      </cdr:nvSpPr>
      <cdr:spPr>
        <a:xfrm xmlns:a="http://schemas.openxmlformats.org/drawingml/2006/main">
          <a:off x="1425043" y="552926"/>
          <a:ext cx="1073186" cy="4762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pre-COVID</a:t>
          </a:r>
          <a:r>
            <a:rPr lang="es-MX" sz="800" b="1" baseline="0">
              <a:latin typeface="Times New Roman" panose="02020603050405020304" pitchFamily="18" charset="0"/>
              <a:cs typeface="Times New Roman" panose="02020603050405020304" pitchFamily="18" charset="0"/>
            </a:rPr>
            <a:t>-</a:t>
          </a:r>
          <a:r>
            <a:rPr lang="es-MX" sz="800" b="1">
              <a:latin typeface="Times New Roman" panose="02020603050405020304" pitchFamily="18" charset="0"/>
              <a:cs typeface="Times New Roman" panose="02020603050405020304" pitchFamily="18" charset="0"/>
            </a:rPr>
            <a:t>19 employment level</a:t>
          </a:r>
        </a:p>
      </cdr:txBody>
    </cdr:sp>
  </cdr:relSizeAnchor>
  <cdr:relSizeAnchor xmlns:cdr="http://schemas.openxmlformats.org/drawingml/2006/chartDrawing">
    <cdr:from>
      <cdr:x>0.42471</cdr:x>
      <cdr:y>0.2653</cdr:y>
    </cdr:from>
    <cdr:to>
      <cdr:x>0.46115</cdr:x>
      <cdr:y>0.31967</cdr:y>
    </cdr:to>
    <cdr:cxnSp macro="">
      <cdr:nvCxnSpPr>
        <cdr:cNvPr id="21" name="Conector recto de flecha 20">
          <a:extLst xmlns:a="http://schemas.openxmlformats.org/drawingml/2006/main">
            <a:ext uri="{FF2B5EF4-FFF2-40B4-BE49-F238E27FC236}">
              <a16:creationId xmlns:a16="http://schemas.microsoft.com/office/drawing/2014/main" id="{6BAC7DBC-5D60-4D2F-B5C1-5477B1625DF4}"/>
            </a:ext>
          </a:extLst>
        </cdr:cNvPr>
        <cdr:cNvCxnSpPr/>
      </cdr:nvCxnSpPr>
      <cdr:spPr>
        <a:xfrm xmlns:a="http://schemas.openxmlformats.org/drawingml/2006/main">
          <a:off x="2368146" y="712778"/>
          <a:ext cx="203210" cy="146067"/>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0.58298</cdr:x>
      <cdr:y>0.20499</cdr:y>
    </cdr:from>
    <cdr:to>
      <cdr:x>0.58298</cdr:x>
      <cdr:y>0.44545</cdr:y>
    </cdr:to>
    <cdr:cxnSp macro="">
      <cdr:nvCxnSpPr>
        <cdr:cNvPr id="3" name="Conector recto 2"/>
        <cdr:cNvCxnSpPr/>
      </cdr:nvCxnSpPr>
      <cdr:spPr>
        <a:xfrm xmlns:a="http://schemas.openxmlformats.org/drawingml/2006/main">
          <a:off x="3271755" y="549697"/>
          <a:ext cx="0" cy="64483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0.60464</cdr:x>
      <cdr:y>0.20696</cdr:y>
    </cdr:from>
    <cdr:to>
      <cdr:x>0.60464</cdr:x>
      <cdr:y>0.32325</cdr:y>
    </cdr:to>
    <cdr:cxnSp macro="">
      <cdr:nvCxnSpPr>
        <cdr:cNvPr id="5" name="Conector recto 4"/>
        <cdr:cNvCxnSpPr/>
      </cdr:nvCxnSpPr>
      <cdr:spPr>
        <a:xfrm xmlns:a="http://schemas.openxmlformats.org/drawingml/2006/main">
          <a:off x="3393323" y="554982"/>
          <a:ext cx="0" cy="3118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0.94181</cdr:x>
      <cdr:y>0.07884</cdr:y>
    </cdr:from>
    <cdr:to>
      <cdr:x>0.94709</cdr:x>
      <cdr:y>0.76082</cdr:y>
    </cdr:to>
    <cdr:cxnSp macro="">
      <cdr:nvCxnSpPr>
        <cdr:cNvPr id="6" name="Conector recto 5">
          <a:extLst xmlns:a="http://schemas.openxmlformats.org/drawingml/2006/main">
            <a:ext uri="{FF2B5EF4-FFF2-40B4-BE49-F238E27FC236}">
              <a16:creationId xmlns:a16="http://schemas.microsoft.com/office/drawing/2014/main" id="{44045378-5097-4EE5-B01E-5126F8D0690C}"/>
            </a:ext>
          </a:extLst>
        </cdr:cNvPr>
        <cdr:cNvCxnSpPr/>
      </cdr:nvCxnSpPr>
      <cdr:spPr>
        <a:xfrm xmlns:a="http://schemas.openxmlformats.org/drawingml/2006/main" flipH="1">
          <a:off x="5285549" y="211422"/>
          <a:ext cx="29657" cy="1828800"/>
        </a:xfrm>
        <a:prstGeom xmlns:a="http://schemas.openxmlformats.org/drawingml/2006/main" prst="line">
          <a:avLst/>
        </a:prstGeom>
        <a:ln xmlns:a="http://schemas.openxmlformats.org/drawingml/2006/main" w="9525">
          <a:solidFill>
            <a:srgbClr val="FF0000"/>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0.45641</cdr:x>
      <cdr:y>0.08081</cdr:y>
    </cdr:from>
    <cdr:to>
      <cdr:x>0.45641</cdr:x>
      <cdr:y>0.76476</cdr:y>
    </cdr:to>
    <cdr:cxnSp macro="">
      <cdr:nvCxnSpPr>
        <cdr:cNvPr id="8" name="Conector recto 7">
          <a:extLst xmlns:a="http://schemas.openxmlformats.org/drawingml/2006/main">
            <a:ext uri="{FF2B5EF4-FFF2-40B4-BE49-F238E27FC236}">
              <a16:creationId xmlns:a16="http://schemas.microsoft.com/office/drawing/2014/main" id="{6CC363B1-501F-4F73-9AAD-7A8DCE26AA34}"/>
            </a:ext>
          </a:extLst>
        </cdr:cNvPr>
        <cdr:cNvCxnSpPr/>
      </cdr:nvCxnSpPr>
      <cdr:spPr>
        <a:xfrm xmlns:a="http://schemas.openxmlformats.org/drawingml/2006/main">
          <a:off x="2561435" y="216707"/>
          <a:ext cx="0" cy="1834086"/>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0.55153</cdr:x>
      <cdr:y>0.00712</cdr:y>
    </cdr:from>
    <cdr:to>
      <cdr:x>0.86155</cdr:x>
      <cdr:y>0.08764</cdr:y>
    </cdr:to>
    <cdr:sp macro="" textlink="">
      <cdr:nvSpPr>
        <cdr:cNvPr id="11" name="CuadroTexto 1">
          <a:extLst xmlns:a="http://schemas.openxmlformats.org/drawingml/2006/main">
            <a:ext uri="{FF2B5EF4-FFF2-40B4-BE49-F238E27FC236}">
              <a16:creationId xmlns:a16="http://schemas.microsoft.com/office/drawing/2014/main" id="{09283899-CD59-4183-80C2-4F2E7E08E57C}"/>
            </a:ext>
          </a:extLst>
        </cdr:cNvPr>
        <cdr:cNvSpPr txBox="1"/>
      </cdr:nvSpPr>
      <cdr:spPr>
        <a:xfrm xmlns:a="http://schemas.openxmlformats.org/drawingml/2006/main">
          <a:off x="3095276" y="19087"/>
          <a:ext cx="1739864" cy="2159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solidFill>
                <a:srgbClr val="FF0000"/>
              </a:solidFill>
              <a:latin typeface="Times New Roman" panose="02020603050405020304" pitchFamily="18" charset="0"/>
              <a:cs typeface="Times New Roman" panose="02020603050405020304" pitchFamily="18" charset="0"/>
            </a:rPr>
            <a:t>Hypothetical recovery period</a:t>
          </a:r>
        </a:p>
      </cdr:txBody>
    </cdr:sp>
  </cdr:relSizeAnchor>
  <cdr:relSizeAnchor xmlns:cdr="http://schemas.openxmlformats.org/drawingml/2006/chartDrawing">
    <cdr:from>
      <cdr:x>0.61656</cdr:x>
      <cdr:y>0.50112</cdr:y>
    </cdr:from>
    <cdr:to>
      <cdr:x>0.75765</cdr:x>
      <cdr:y>0.64899</cdr:y>
    </cdr:to>
    <cdr:sp macro="" textlink="">
      <cdr:nvSpPr>
        <cdr:cNvPr id="12" name="CuadroTexto 18">
          <a:extLst xmlns:a="http://schemas.openxmlformats.org/drawingml/2006/main">
            <a:ext uri="{FF2B5EF4-FFF2-40B4-BE49-F238E27FC236}">
              <a16:creationId xmlns:a16="http://schemas.microsoft.com/office/drawing/2014/main" id="{B9D63A27-216D-48AA-9B55-C72A69423AFC}"/>
            </a:ext>
          </a:extLst>
        </cdr:cNvPr>
        <cdr:cNvSpPr txBox="1"/>
      </cdr:nvSpPr>
      <cdr:spPr>
        <a:xfrm xmlns:a="http://schemas.openxmlformats.org/drawingml/2006/main">
          <a:off x="3460235" y="1343814"/>
          <a:ext cx="791799" cy="39653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 </a:t>
          </a:r>
        </a:p>
      </cdr:txBody>
    </cdr:sp>
  </cdr:relSizeAnchor>
  <cdr:relSizeAnchor xmlns:cdr="http://schemas.openxmlformats.org/drawingml/2006/chartDrawing">
    <cdr:from>
      <cdr:x>0.57696</cdr:x>
      <cdr:y>0.44666</cdr:y>
    </cdr:from>
    <cdr:to>
      <cdr:x>0.62675</cdr:x>
      <cdr:y>0.56269</cdr:y>
    </cdr:to>
    <cdr:cxnSp macro="">
      <cdr:nvCxnSpPr>
        <cdr:cNvPr id="13" name="Conector recto de flecha 12">
          <a:extLst xmlns:a="http://schemas.openxmlformats.org/drawingml/2006/main">
            <a:ext uri="{FF2B5EF4-FFF2-40B4-BE49-F238E27FC236}">
              <a16:creationId xmlns:a16="http://schemas.microsoft.com/office/drawing/2014/main" id="{C6463101-8229-4278-97D9-BC755953F466}"/>
            </a:ext>
          </a:extLst>
        </cdr:cNvPr>
        <cdr:cNvCxnSpPr/>
      </cdr:nvCxnSpPr>
      <cdr:spPr>
        <a:xfrm xmlns:a="http://schemas.openxmlformats.org/drawingml/2006/main">
          <a:off x="3237986" y="1197764"/>
          <a:ext cx="279400" cy="31115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0.38708</cdr:x>
      <cdr:y>0.14191</cdr:y>
    </cdr:from>
    <cdr:to>
      <cdr:x>0.4465</cdr:x>
      <cdr:y>0.21287</cdr:y>
    </cdr:to>
    <cdr:cxnSp macro="">
      <cdr:nvCxnSpPr>
        <cdr:cNvPr id="14" name="Conector recto de flecha 13">
          <a:extLst xmlns:a="http://schemas.openxmlformats.org/drawingml/2006/main">
            <a:ext uri="{FF2B5EF4-FFF2-40B4-BE49-F238E27FC236}">
              <a16:creationId xmlns:a16="http://schemas.microsoft.com/office/drawing/2014/main" id="{A2492D46-BFEA-4623-91E6-0436BF02EDC8}"/>
            </a:ext>
          </a:extLst>
        </cdr:cNvPr>
        <cdr:cNvCxnSpPr/>
      </cdr:nvCxnSpPr>
      <cdr:spPr>
        <a:xfrm xmlns:a="http://schemas.openxmlformats.org/drawingml/2006/main">
          <a:off x="2172361" y="380559"/>
          <a:ext cx="333458" cy="19028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0.20401</cdr:x>
      <cdr:y>0.03274</cdr:y>
    </cdr:from>
    <cdr:to>
      <cdr:x>0.38051</cdr:x>
      <cdr:y>0.19613</cdr:y>
    </cdr:to>
    <cdr:sp macro="" textlink="">
      <cdr:nvSpPr>
        <cdr:cNvPr id="15" name="CuadroTexto 8">
          <a:extLst xmlns:a="http://schemas.openxmlformats.org/drawingml/2006/main">
            <a:ext uri="{FF2B5EF4-FFF2-40B4-BE49-F238E27FC236}">
              <a16:creationId xmlns:a16="http://schemas.microsoft.com/office/drawing/2014/main" id="{A08679F6-4628-420E-9D67-B5F064EA1F48}"/>
            </a:ext>
          </a:extLst>
        </cdr:cNvPr>
        <cdr:cNvSpPr txBox="1"/>
      </cdr:nvSpPr>
      <cdr:spPr>
        <a:xfrm xmlns:a="http://schemas.openxmlformats.org/drawingml/2006/main">
          <a:off x="1144908" y="87799"/>
          <a:ext cx="990579" cy="4381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pre-COVID-19 employment level</a:t>
          </a:r>
          <a:endParaRPr lang="es-MX" sz="11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0.23646</cdr:x>
      <cdr:y>0.06181</cdr:y>
    </cdr:from>
    <cdr:to>
      <cdr:x>0.42711</cdr:x>
      <cdr:y>0.20475</cdr:y>
    </cdr:to>
    <cdr:sp macro="" textlink="">
      <cdr:nvSpPr>
        <cdr:cNvPr id="2" name="CuadroTexto 8">
          <a:extLst xmlns:a="http://schemas.openxmlformats.org/drawingml/2006/main">
            <a:ext uri="{FF2B5EF4-FFF2-40B4-BE49-F238E27FC236}">
              <a16:creationId xmlns:a16="http://schemas.microsoft.com/office/drawing/2014/main" id="{13F0A38D-1B95-4571-A05B-07199A6EA9CF}"/>
            </a:ext>
          </a:extLst>
        </cdr:cNvPr>
        <cdr:cNvSpPr txBox="1"/>
      </cdr:nvSpPr>
      <cdr:spPr>
        <a:xfrm xmlns:a="http://schemas.openxmlformats.org/drawingml/2006/main">
          <a:off x="1337244" y="166541"/>
          <a:ext cx="1078200" cy="3851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pre-COVID-19 employment level</a:t>
          </a:r>
          <a:endParaRPr lang="es-MX"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0.41039</cdr:x>
      <cdr:y>0.12888</cdr:y>
    </cdr:from>
    <cdr:to>
      <cdr:x>0.45983</cdr:x>
      <cdr:y>0.22364</cdr:y>
    </cdr:to>
    <cdr:cxnSp macro="">
      <cdr:nvCxnSpPr>
        <cdr:cNvPr id="3" name="Conector recto de flecha 2">
          <a:extLst xmlns:a="http://schemas.openxmlformats.org/drawingml/2006/main">
            <a:ext uri="{FF2B5EF4-FFF2-40B4-BE49-F238E27FC236}">
              <a16:creationId xmlns:a16="http://schemas.microsoft.com/office/drawing/2014/main" id="{DD014D06-3610-4749-BB6E-3DDB98499D9B}"/>
            </a:ext>
          </a:extLst>
        </cdr:cNvPr>
        <cdr:cNvCxnSpPr/>
      </cdr:nvCxnSpPr>
      <cdr:spPr>
        <a:xfrm xmlns:a="http://schemas.openxmlformats.org/drawingml/2006/main">
          <a:off x="2320891" y="347249"/>
          <a:ext cx="279598" cy="255304"/>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0.46601</cdr:x>
      <cdr:y>0.06474</cdr:y>
    </cdr:from>
    <cdr:to>
      <cdr:x>0.46731</cdr:x>
      <cdr:y>0.76704</cdr:y>
    </cdr:to>
    <cdr:cxnSp macro="">
      <cdr:nvCxnSpPr>
        <cdr:cNvPr id="7" name="Conector recto 6">
          <a:extLst xmlns:a="http://schemas.openxmlformats.org/drawingml/2006/main">
            <a:ext uri="{FF2B5EF4-FFF2-40B4-BE49-F238E27FC236}">
              <a16:creationId xmlns:a16="http://schemas.microsoft.com/office/drawing/2014/main" id="{99FB1141-1BB9-4D6F-B16F-9D7BB8647275}"/>
            </a:ext>
          </a:extLst>
        </cdr:cNvPr>
        <cdr:cNvCxnSpPr/>
      </cdr:nvCxnSpPr>
      <cdr:spPr>
        <a:xfrm xmlns:a="http://schemas.openxmlformats.org/drawingml/2006/main" flipH="1">
          <a:off x="2635433" y="174423"/>
          <a:ext cx="7340" cy="1892227"/>
        </a:xfrm>
        <a:prstGeom xmlns:a="http://schemas.openxmlformats.org/drawingml/2006/main" prst="line">
          <a:avLst/>
        </a:prstGeom>
        <a:ln xmlns:a="http://schemas.openxmlformats.org/drawingml/2006/main" w="952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0.58658</cdr:x>
      <cdr:y>0.47594</cdr:y>
    </cdr:from>
    <cdr:to>
      <cdr:x>0.65507</cdr:x>
      <cdr:y>0.61264</cdr:y>
    </cdr:to>
    <cdr:cxnSp macro="">
      <cdr:nvCxnSpPr>
        <cdr:cNvPr id="10" name="Conector recto de flecha 9">
          <a:extLst xmlns:a="http://schemas.openxmlformats.org/drawingml/2006/main">
            <a:ext uri="{FF2B5EF4-FFF2-40B4-BE49-F238E27FC236}">
              <a16:creationId xmlns:a16="http://schemas.microsoft.com/office/drawing/2014/main" id="{910EEA2D-874F-4CA2-8619-A507B007B3A5}"/>
            </a:ext>
          </a:extLst>
        </cdr:cNvPr>
        <cdr:cNvCxnSpPr/>
      </cdr:nvCxnSpPr>
      <cdr:spPr>
        <a:xfrm xmlns:a="http://schemas.openxmlformats.org/drawingml/2006/main">
          <a:off x="3317269" y="1282333"/>
          <a:ext cx="387350" cy="3683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0.63637</cdr:x>
      <cdr:y>0.57295</cdr:y>
    </cdr:from>
    <cdr:to>
      <cdr:x>0.78908</cdr:x>
      <cdr:y>0.71672</cdr:y>
    </cdr:to>
    <cdr:sp macro="" textlink="">
      <cdr:nvSpPr>
        <cdr:cNvPr id="11" name="CuadroTexto 19">
          <a:extLst xmlns:a="http://schemas.openxmlformats.org/drawingml/2006/main">
            <a:ext uri="{FF2B5EF4-FFF2-40B4-BE49-F238E27FC236}">
              <a16:creationId xmlns:a16="http://schemas.microsoft.com/office/drawing/2014/main" id="{E15EFBEA-FF72-4549-84DC-D94FD6D38C9A}"/>
            </a:ext>
          </a:extLst>
        </cdr:cNvPr>
        <cdr:cNvSpPr txBox="1"/>
      </cdr:nvSpPr>
      <cdr:spPr>
        <a:xfrm xmlns:a="http://schemas.openxmlformats.org/drawingml/2006/main">
          <a:off x="3598871" y="1543711"/>
          <a:ext cx="863600" cy="3873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MX" sz="800" b="1">
              <a:latin typeface="Times New Roman" panose="02020603050405020304" pitchFamily="18" charset="0"/>
              <a:cs typeface="Times New Roman" panose="02020603050405020304" pitchFamily="18" charset="0"/>
            </a:rPr>
            <a:t>structural effect </a:t>
          </a:r>
        </a:p>
      </cdr:txBody>
    </cdr:sp>
  </cdr:relSizeAnchor>
  <cdr:relSizeAnchor xmlns:cdr="http://schemas.openxmlformats.org/drawingml/2006/chartDrawing">
    <cdr:from>
      <cdr:x>0.52619</cdr:x>
      <cdr:y>0.23149</cdr:y>
    </cdr:from>
    <cdr:to>
      <cdr:x>0.52619</cdr:x>
      <cdr:y>0.34723</cdr:y>
    </cdr:to>
    <cdr:cxnSp macro="">
      <cdr:nvCxnSpPr>
        <cdr:cNvPr id="13" name="Conector recto 12"/>
        <cdr:cNvCxnSpPr/>
      </cdr:nvCxnSpPr>
      <cdr:spPr>
        <a:xfrm xmlns:a="http://schemas.openxmlformats.org/drawingml/2006/main">
          <a:off x="2975764" y="623695"/>
          <a:ext cx="0" cy="31184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0.53798</cdr:x>
      <cdr:y>0.23072</cdr:y>
    </cdr:from>
    <cdr:to>
      <cdr:x>0.53798</cdr:x>
      <cdr:y>0.41785</cdr:y>
    </cdr:to>
    <cdr:cxnSp macro="">
      <cdr:nvCxnSpPr>
        <cdr:cNvPr id="14" name="Conector recto 13"/>
        <cdr:cNvCxnSpPr/>
      </cdr:nvCxnSpPr>
      <cdr:spPr>
        <a:xfrm xmlns:a="http://schemas.openxmlformats.org/drawingml/2006/main">
          <a:off x="3042420" y="621640"/>
          <a:ext cx="0" cy="50418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0.55537</cdr:x>
      <cdr:y>0.23192</cdr:y>
    </cdr:from>
    <cdr:to>
      <cdr:x>0.55537</cdr:x>
      <cdr:y>0.52967</cdr:y>
    </cdr:to>
    <cdr:cxnSp macro="">
      <cdr:nvCxnSpPr>
        <cdr:cNvPr id="16" name="Conector recto 15"/>
        <cdr:cNvCxnSpPr/>
      </cdr:nvCxnSpPr>
      <cdr:spPr>
        <a:xfrm xmlns:a="http://schemas.openxmlformats.org/drawingml/2006/main">
          <a:off x="3140790" y="624870"/>
          <a:ext cx="0" cy="80222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0.57276</cdr:x>
      <cdr:y>0.22724</cdr:y>
    </cdr:from>
    <cdr:to>
      <cdr:x>0.57276</cdr:x>
      <cdr:y>0.56302</cdr:y>
    </cdr:to>
    <cdr:cxnSp macro="">
      <cdr:nvCxnSpPr>
        <cdr:cNvPr id="18" name="Conector recto 17"/>
        <cdr:cNvCxnSpPr/>
      </cdr:nvCxnSpPr>
      <cdr:spPr>
        <a:xfrm xmlns:a="http://schemas.openxmlformats.org/drawingml/2006/main">
          <a:off x="3239159" y="612244"/>
          <a:ext cx="0" cy="90470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0.59203</cdr:x>
      <cdr:y>0.22451</cdr:y>
    </cdr:from>
    <cdr:to>
      <cdr:x>0.59203</cdr:x>
      <cdr:y>0.49044</cdr:y>
    </cdr:to>
    <cdr:cxnSp macro="">
      <cdr:nvCxnSpPr>
        <cdr:cNvPr id="20" name="Conector recto 19"/>
        <cdr:cNvCxnSpPr/>
      </cdr:nvCxnSpPr>
      <cdr:spPr>
        <a:xfrm xmlns:a="http://schemas.openxmlformats.org/drawingml/2006/main">
          <a:off x="3348100" y="604903"/>
          <a:ext cx="0" cy="71648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0.61223</cdr:x>
      <cdr:y>0.21198</cdr:y>
    </cdr:from>
    <cdr:to>
      <cdr:x>0.61223</cdr:x>
      <cdr:y>0.4257</cdr:y>
    </cdr:to>
    <cdr:cxnSp macro="">
      <cdr:nvCxnSpPr>
        <cdr:cNvPr id="22" name="Conector recto 21"/>
        <cdr:cNvCxnSpPr/>
      </cdr:nvCxnSpPr>
      <cdr:spPr>
        <a:xfrm xmlns:a="http://schemas.openxmlformats.org/drawingml/2006/main">
          <a:off x="3462327" y="571134"/>
          <a:ext cx="0" cy="57583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0.63055</cdr:x>
      <cdr:y>0.20925</cdr:y>
    </cdr:from>
    <cdr:to>
      <cdr:x>0.63055</cdr:x>
      <cdr:y>0.3845</cdr:y>
    </cdr:to>
    <cdr:cxnSp macro="">
      <cdr:nvCxnSpPr>
        <cdr:cNvPr id="24" name="Conector recto 23"/>
        <cdr:cNvCxnSpPr/>
      </cdr:nvCxnSpPr>
      <cdr:spPr>
        <a:xfrm xmlns:a="http://schemas.openxmlformats.org/drawingml/2006/main">
          <a:off x="3565983" y="563793"/>
          <a:ext cx="0" cy="4721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0.64795</cdr:x>
      <cdr:y>0.20653</cdr:y>
    </cdr:from>
    <cdr:to>
      <cdr:x>0.64795</cdr:x>
      <cdr:y>0.35115</cdr:y>
    </cdr:to>
    <cdr:cxnSp macro="">
      <cdr:nvCxnSpPr>
        <cdr:cNvPr id="26" name="Conector recto 25"/>
        <cdr:cNvCxnSpPr/>
      </cdr:nvCxnSpPr>
      <cdr:spPr>
        <a:xfrm xmlns:a="http://schemas.openxmlformats.org/drawingml/2006/main">
          <a:off x="3664353" y="556452"/>
          <a:ext cx="0" cy="38966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0.66534</cdr:x>
      <cdr:y>0.20577</cdr:y>
    </cdr:from>
    <cdr:to>
      <cdr:x>0.66534</cdr:x>
      <cdr:y>0.31584</cdr:y>
    </cdr:to>
    <cdr:cxnSp macro="">
      <cdr:nvCxnSpPr>
        <cdr:cNvPr id="28" name="Conector recto 27"/>
        <cdr:cNvCxnSpPr/>
      </cdr:nvCxnSpPr>
      <cdr:spPr>
        <a:xfrm xmlns:a="http://schemas.openxmlformats.org/drawingml/2006/main">
          <a:off x="3762723" y="554397"/>
          <a:ext cx="0" cy="29657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0.81385</cdr:x>
      <cdr:y>0.06989</cdr:y>
    </cdr:from>
    <cdr:to>
      <cdr:x>0.8157</cdr:x>
      <cdr:y>0.73656</cdr:y>
    </cdr:to>
    <cdr:cxnSp macro="">
      <cdr:nvCxnSpPr>
        <cdr:cNvPr id="4" name="Conector recto 3">
          <a:extLst xmlns:a="http://schemas.openxmlformats.org/drawingml/2006/main">
            <a:ext uri="{FF2B5EF4-FFF2-40B4-BE49-F238E27FC236}">
              <a16:creationId xmlns:a16="http://schemas.microsoft.com/office/drawing/2014/main" id="{60E545F2-B8E4-483A-A411-8FC4BA33204F}"/>
            </a:ext>
          </a:extLst>
        </cdr:cNvPr>
        <cdr:cNvCxnSpPr/>
      </cdr:nvCxnSpPr>
      <cdr:spPr>
        <a:xfrm xmlns:a="http://schemas.openxmlformats.org/drawingml/2006/main">
          <a:off x="5726097" y="223225"/>
          <a:ext cx="13016" cy="2129378"/>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0.14908</cdr:x>
      <cdr:y>0.05668</cdr:y>
    </cdr:from>
    <cdr:to>
      <cdr:x>0.15186</cdr:x>
      <cdr:y>0.7268</cdr:y>
    </cdr:to>
    <cdr:cxnSp macro="">
      <cdr:nvCxnSpPr>
        <cdr:cNvPr id="3" name="Conector recto 2">
          <a:extLst xmlns:a="http://schemas.openxmlformats.org/drawingml/2006/main">
            <a:ext uri="{FF2B5EF4-FFF2-40B4-BE49-F238E27FC236}">
              <a16:creationId xmlns:a16="http://schemas.microsoft.com/office/drawing/2014/main" id="{1AC463FD-6B16-41AC-909B-3694A5F14D28}"/>
            </a:ext>
          </a:extLst>
        </cdr:cNvPr>
        <cdr:cNvCxnSpPr/>
      </cdr:nvCxnSpPr>
      <cdr:spPr>
        <a:xfrm xmlns:a="http://schemas.openxmlformats.org/drawingml/2006/main" flipH="1">
          <a:off x="1048883" y="181025"/>
          <a:ext cx="19560" cy="2140396"/>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0.36973</cdr:x>
      <cdr:y>0.0368</cdr:y>
    </cdr:from>
    <cdr:to>
      <cdr:x>0.63241</cdr:x>
      <cdr:y>0.10233</cdr:y>
    </cdr:to>
    <cdr:sp macro="" textlink="">
      <cdr:nvSpPr>
        <cdr:cNvPr id="5" name="CuadroTexto 4">
          <a:extLst xmlns:a="http://schemas.openxmlformats.org/drawingml/2006/main">
            <a:ext uri="{FF2B5EF4-FFF2-40B4-BE49-F238E27FC236}">
              <a16:creationId xmlns:a16="http://schemas.microsoft.com/office/drawing/2014/main" id="{9E24A832-6F57-49DD-A774-266C3790D1DA}"/>
            </a:ext>
          </a:extLst>
        </cdr:cNvPr>
        <cdr:cNvSpPr txBox="1"/>
      </cdr:nvSpPr>
      <cdr:spPr>
        <a:xfrm xmlns:a="http://schemas.openxmlformats.org/drawingml/2006/main">
          <a:off x="2038113" y="93360"/>
          <a:ext cx="1448006" cy="1662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0.13882</cdr:x>
      <cdr:y>0.27739</cdr:y>
    </cdr:from>
    <cdr:to>
      <cdr:x>0.27026</cdr:x>
      <cdr:y>0.36288</cdr:y>
    </cdr:to>
    <cdr:sp macro="" textlink="">
      <cdr:nvSpPr>
        <cdr:cNvPr id="6" name="CuadroTexto 4">
          <a:extLst xmlns:a="http://schemas.openxmlformats.org/drawingml/2006/main">
            <a:ext uri="{FF2B5EF4-FFF2-40B4-BE49-F238E27FC236}">
              <a16:creationId xmlns:a16="http://schemas.microsoft.com/office/drawing/2014/main" id="{1D97EF85-535F-4179-A877-8FA7FD79BE63}"/>
            </a:ext>
          </a:extLst>
        </cdr:cNvPr>
        <cdr:cNvSpPr txBox="1"/>
      </cdr:nvSpPr>
      <cdr:spPr>
        <a:xfrm xmlns:a="http://schemas.openxmlformats.org/drawingml/2006/main">
          <a:off x="765249" y="703683"/>
          <a:ext cx="724569" cy="21687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ysClr val="windowText" lastClr="000000"/>
              </a:solidFill>
              <a:latin typeface="Times New Roman" panose="02020603050405020304" pitchFamily="18" charset="0"/>
              <a:cs typeface="Times New Roman" panose="02020603050405020304" pitchFamily="18" charset="0"/>
            </a:rPr>
            <a:t>7,159,142</a:t>
          </a:r>
        </a:p>
      </cdr:txBody>
    </cdr:sp>
  </cdr:relSizeAnchor>
  <cdr:relSizeAnchor xmlns:cdr="http://schemas.openxmlformats.org/drawingml/2006/chartDrawing">
    <cdr:from>
      <cdr:x>0.1992</cdr:x>
      <cdr:y>0.18016</cdr:y>
    </cdr:from>
    <cdr:to>
      <cdr:x>0.21772</cdr:x>
      <cdr:y>0.29148</cdr:y>
    </cdr:to>
    <cdr:cxnSp macro="">
      <cdr:nvCxnSpPr>
        <cdr:cNvPr id="7" name="Conector recto de flecha 6">
          <a:extLst xmlns:a="http://schemas.openxmlformats.org/drawingml/2006/main">
            <a:ext uri="{FF2B5EF4-FFF2-40B4-BE49-F238E27FC236}">
              <a16:creationId xmlns:a16="http://schemas.microsoft.com/office/drawing/2014/main" id="{1EAC3FC2-4275-4764-AE2D-C51AA82A69AF}"/>
            </a:ext>
          </a:extLst>
        </cdr:cNvPr>
        <cdr:cNvCxnSpPr/>
      </cdr:nvCxnSpPr>
      <cdr:spPr>
        <a:xfrm xmlns:a="http://schemas.openxmlformats.org/drawingml/2006/main" flipH="1">
          <a:off x="1098093" y="457040"/>
          <a:ext cx="102090" cy="282399"/>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0.1673</cdr:x>
      <cdr:y>0.034</cdr:y>
    </cdr:from>
    <cdr:to>
      <cdr:x>0.38271</cdr:x>
      <cdr:y>0.16644</cdr:y>
    </cdr:to>
    <cdr:sp macro="" textlink="">
      <cdr:nvSpPr>
        <cdr:cNvPr id="9" name="CuadroTexto 8">
          <a:extLst xmlns:a="http://schemas.openxmlformats.org/drawingml/2006/main">
            <a:ext uri="{FF2B5EF4-FFF2-40B4-BE49-F238E27FC236}">
              <a16:creationId xmlns:a16="http://schemas.microsoft.com/office/drawing/2014/main" id="{73C985CE-624C-49BC-8457-40E80DECEB2A}"/>
            </a:ext>
          </a:extLst>
        </cdr:cNvPr>
        <cdr:cNvSpPr txBox="1"/>
      </cdr:nvSpPr>
      <cdr:spPr>
        <a:xfrm xmlns:a="http://schemas.openxmlformats.org/drawingml/2006/main">
          <a:off x="922256" y="86263"/>
          <a:ext cx="1187432" cy="33597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pre-COVID-19 employment level</a:t>
          </a:r>
          <a:endParaRPr lang="es-MX" sz="8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0.71532</cdr:x>
      <cdr:y>0.18779</cdr:y>
    </cdr:from>
    <cdr:to>
      <cdr:x>0.8546</cdr:x>
      <cdr:y>0.29332</cdr:y>
    </cdr:to>
    <cdr:sp macro="" textlink="">
      <cdr:nvSpPr>
        <cdr:cNvPr id="8" name="CuadroTexto 2">
          <a:extLst xmlns:a="http://schemas.openxmlformats.org/drawingml/2006/main">
            <a:ext uri="{FF2B5EF4-FFF2-40B4-BE49-F238E27FC236}">
              <a16:creationId xmlns:a16="http://schemas.microsoft.com/office/drawing/2014/main" id="{9EF37D17-AF14-4E1F-BCB4-7F47AF04D429}"/>
            </a:ext>
          </a:extLst>
        </cdr:cNvPr>
        <cdr:cNvSpPr txBox="1"/>
      </cdr:nvSpPr>
      <cdr:spPr>
        <a:xfrm xmlns:a="http://schemas.openxmlformats.org/drawingml/2006/main">
          <a:off x="3943170" y="476379"/>
          <a:ext cx="767761" cy="2677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rgbClr val="FF0000"/>
              </a:solidFill>
              <a:latin typeface="Times New Roman" panose="02020603050405020304" pitchFamily="18" charset="0"/>
              <a:cs typeface="Times New Roman" panose="02020603050405020304" pitchFamily="18" charset="0"/>
            </a:rPr>
            <a:t>7,397,595</a:t>
          </a:r>
        </a:p>
      </cdr:txBody>
    </cdr:sp>
  </cdr:relSizeAnchor>
  <cdr:relSizeAnchor xmlns:cdr="http://schemas.openxmlformats.org/drawingml/2006/chartDrawing">
    <cdr:from>
      <cdr:x>0.81075</cdr:x>
      <cdr:y>0.25462</cdr:y>
    </cdr:from>
    <cdr:to>
      <cdr:x>0.92823</cdr:x>
      <cdr:y>0.32334</cdr:y>
    </cdr:to>
    <cdr:sp macro="" textlink="">
      <cdr:nvSpPr>
        <cdr:cNvPr id="10" name="CuadroTexto 3">
          <a:extLst xmlns:a="http://schemas.openxmlformats.org/drawingml/2006/main">
            <a:ext uri="{FF2B5EF4-FFF2-40B4-BE49-F238E27FC236}">
              <a16:creationId xmlns:a16="http://schemas.microsoft.com/office/drawing/2014/main" id="{A26A5C09-B9CA-4C90-BCA3-858672FA44C8}"/>
            </a:ext>
          </a:extLst>
        </cdr:cNvPr>
        <cdr:cNvSpPr txBox="1"/>
      </cdr:nvSpPr>
      <cdr:spPr>
        <a:xfrm xmlns:a="http://schemas.openxmlformats.org/drawingml/2006/main">
          <a:off x="4469202" y="645920"/>
          <a:ext cx="647589" cy="17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accent6"/>
              </a:solidFill>
              <a:latin typeface="Times New Roman" panose="02020603050405020304" pitchFamily="18" charset="0"/>
              <a:cs typeface="Times New Roman" panose="02020603050405020304" pitchFamily="18" charset="0"/>
            </a:rPr>
            <a:t>7,342,956</a:t>
          </a:r>
        </a:p>
      </cdr:txBody>
    </cdr:sp>
  </cdr:relSizeAnchor>
  <cdr:relSizeAnchor xmlns:cdr="http://schemas.openxmlformats.org/drawingml/2006/chartDrawing">
    <cdr:from>
      <cdr:x>0.80481</cdr:x>
      <cdr:y>0.33319</cdr:y>
    </cdr:from>
    <cdr:to>
      <cdr:x>0.94409</cdr:x>
      <cdr:y>0.43872</cdr:y>
    </cdr:to>
    <cdr:sp macro="" textlink="">
      <cdr:nvSpPr>
        <cdr:cNvPr id="11" name="CuadroTexto 4">
          <a:extLst xmlns:a="http://schemas.openxmlformats.org/drawingml/2006/main">
            <a:ext uri="{FF2B5EF4-FFF2-40B4-BE49-F238E27FC236}">
              <a16:creationId xmlns:a16="http://schemas.microsoft.com/office/drawing/2014/main" id="{1D97EF85-535F-4179-A877-8FA7FD79BE63}"/>
            </a:ext>
          </a:extLst>
        </cdr:cNvPr>
        <cdr:cNvSpPr txBox="1"/>
      </cdr:nvSpPr>
      <cdr:spPr>
        <a:xfrm xmlns:a="http://schemas.openxmlformats.org/drawingml/2006/main">
          <a:off x="4436464" y="845244"/>
          <a:ext cx="767761" cy="2677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bg1">
                  <a:lumMod val="50000"/>
                </a:schemeClr>
              </a:solidFill>
              <a:latin typeface="Times New Roman" panose="02020603050405020304" pitchFamily="18" charset="0"/>
              <a:cs typeface="Times New Roman" panose="02020603050405020304" pitchFamily="18" charset="0"/>
            </a:rPr>
            <a:t>7,217,580</a:t>
          </a:r>
        </a:p>
      </cdr:txBody>
    </cdr:sp>
  </cdr:relSizeAnchor>
</c:userShapes>
</file>

<file path=word/drawings/drawing6.xml><?xml version="1.0" encoding="utf-8"?>
<c:userShapes xmlns:c="http://schemas.openxmlformats.org/drawingml/2006/chart">
  <cdr:relSizeAnchor xmlns:cdr="http://schemas.openxmlformats.org/drawingml/2006/chartDrawing">
    <cdr:from>
      <cdr:x>0.79034</cdr:x>
      <cdr:y>0.08576</cdr:y>
    </cdr:from>
    <cdr:to>
      <cdr:x>0.79046</cdr:x>
      <cdr:y>0.70931</cdr:y>
    </cdr:to>
    <cdr:cxnSp macro="">
      <cdr:nvCxnSpPr>
        <cdr:cNvPr id="6" name="Conector recto 5">
          <a:extLst xmlns:a="http://schemas.openxmlformats.org/drawingml/2006/main">
            <a:ext uri="{FF2B5EF4-FFF2-40B4-BE49-F238E27FC236}">
              <a16:creationId xmlns:a16="http://schemas.microsoft.com/office/drawing/2014/main" id="{EAFBD626-C5C3-4447-838F-4147267C59FC}"/>
            </a:ext>
          </a:extLst>
        </cdr:cNvPr>
        <cdr:cNvCxnSpPr/>
      </cdr:nvCxnSpPr>
      <cdr:spPr>
        <a:xfrm xmlns:a="http://schemas.openxmlformats.org/drawingml/2006/main">
          <a:off x="5410147" y="284283"/>
          <a:ext cx="821" cy="2066881"/>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0.34916</cdr:x>
      <cdr:y>0.04855</cdr:y>
    </cdr:from>
    <cdr:to>
      <cdr:x>0.60239</cdr:x>
      <cdr:y>0.14002</cdr:y>
    </cdr:to>
    <cdr:sp macro="" textlink="">
      <cdr:nvSpPr>
        <cdr:cNvPr id="7" name="CuadroTexto 1">
          <a:extLst xmlns:a="http://schemas.openxmlformats.org/drawingml/2006/main">
            <a:ext uri="{FF2B5EF4-FFF2-40B4-BE49-F238E27FC236}">
              <a16:creationId xmlns:a16="http://schemas.microsoft.com/office/drawing/2014/main" id="{D5828BE4-64C9-40D1-BE36-C5A4DAB290C3}"/>
            </a:ext>
          </a:extLst>
        </cdr:cNvPr>
        <cdr:cNvSpPr txBox="1"/>
      </cdr:nvSpPr>
      <cdr:spPr>
        <a:xfrm xmlns:a="http://schemas.openxmlformats.org/drawingml/2006/main">
          <a:off x="1959531" y="131948"/>
          <a:ext cx="1421160" cy="2486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s-MX" sz="800">
              <a:latin typeface="Times New Roman" panose="02020603050405020304" pitchFamily="18" charset="0"/>
              <a:cs typeface="Times New Roman" panose="02020603050405020304" pitchFamily="18" charset="0"/>
            </a:rPr>
            <a:t>Recovery period</a:t>
          </a:r>
        </a:p>
      </cdr:txBody>
    </cdr:sp>
  </cdr:relSizeAnchor>
  <cdr:relSizeAnchor xmlns:cdr="http://schemas.openxmlformats.org/drawingml/2006/chartDrawing">
    <cdr:from>
      <cdr:x>0.16432</cdr:x>
      <cdr:y>0.08304</cdr:y>
    </cdr:from>
    <cdr:to>
      <cdr:x>0.16444</cdr:x>
      <cdr:y>0.7066</cdr:y>
    </cdr:to>
    <cdr:cxnSp macro="">
      <cdr:nvCxnSpPr>
        <cdr:cNvPr id="25" name="Conector recto 24">
          <a:extLst xmlns:a="http://schemas.openxmlformats.org/drawingml/2006/main">
            <a:ext uri="{FF2B5EF4-FFF2-40B4-BE49-F238E27FC236}">
              <a16:creationId xmlns:a16="http://schemas.microsoft.com/office/drawing/2014/main" id="{BB8EBE36-F3D0-4741-AE1A-B62428871AFF}"/>
            </a:ext>
          </a:extLst>
        </cdr:cNvPr>
        <cdr:cNvCxnSpPr/>
      </cdr:nvCxnSpPr>
      <cdr:spPr>
        <a:xfrm xmlns:a="http://schemas.openxmlformats.org/drawingml/2006/main">
          <a:off x="1124836" y="275258"/>
          <a:ext cx="821" cy="2066914"/>
        </a:xfrm>
        <a:prstGeom xmlns:a="http://schemas.openxmlformats.org/drawingml/2006/main" prst="line">
          <a:avLst/>
        </a:prstGeom>
        <a:ln xmlns:a="http://schemas.openxmlformats.org/drawingml/2006/main" w="9525">
          <a:solidFill>
            <a:schemeClr val="bg1">
              <a:lumMod val="65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0.67599</cdr:x>
      <cdr:y>0.2387</cdr:y>
    </cdr:from>
    <cdr:to>
      <cdr:x>0.81296</cdr:x>
      <cdr:y>0.31607</cdr:y>
    </cdr:to>
    <cdr:sp macro="" textlink="">
      <cdr:nvSpPr>
        <cdr:cNvPr id="5" name="CuadroTexto 2">
          <a:extLst xmlns:a="http://schemas.openxmlformats.org/drawingml/2006/main">
            <a:ext uri="{FF2B5EF4-FFF2-40B4-BE49-F238E27FC236}">
              <a16:creationId xmlns:a16="http://schemas.microsoft.com/office/drawing/2014/main" id="{F54555D4-9480-48B9-B878-836129DC6E40}"/>
            </a:ext>
          </a:extLst>
        </cdr:cNvPr>
        <cdr:cNvSpPr txBox="1"/>
      </cdr:nvSpPr>
      <cdr:spPr>
        <a:xfrm xmlns:a="http://schemas.openxmlformats.org/drawingml/2006/main">
          <a:off x="3558533" y="626925"/>
          <a:ext cx="721034" cy="2031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accent4"/>
              </a:solidFill>
              <a:latin typeface="Times New Roman" panose="02020603050405020304" pitchFamily="18" charset="0"/>
              <a:cs typeface="Times New Roman" panose="02020603050405020304" pitchFamily="18" charset="0"/>
            </a:rPr>
            <a:t>5,259,826</a:t>
          </a:r>
        </a:p>
      </cdr:txBody>
    </cdr:sp>
  </cdr:relSizeAnchor>
  <cdr:relSizeAnchor xmlns:cdr="http://schemas.openxmlformats.org/drawingml/2006/chartDrawing">
    <cdr:from>
      <cdr:x>0.78297</cdr:x>
      <cdr:y>0.28596</cdr:y>
    </cdr:from>
    <cdr:to>
      <cdr:x>0.90963</cdr:x>
      <cdr:y>0.36091</cdr:y>
    </cdr:to>
    <cdr:sp macro="" textlink="">
      <cdr:nvSpPr>
        <cdr:cNvPr id="8" name="CuadroTexto 3">
          <a:extLst xmlns:a="http://schemas.openxmlformats.org/drawingml/2006/main">
            <a:ext uri="{FF2B5EF4-FFF2-40B4-BE49-F238E27FC236}">
              <a16:creationId xmlns:a16="http://schemas.microsoft.com/office/drawing/2014/main" id="{764A7484-EDEC-4CF5-A5DE-8F4E61A20B2F}"/>
            </a:ext>
          </a:extLst>
        </cdr:cNvPr>
        <cdr:cNvSpPr txBox="1"/>
      </cdr:nvSpPr>
      <cdr:spPr>
        <a:xfrm xmlns:a="http://schemas.openxmlformats.org/drawingml/2006/main">
          <a:off x="4121664" y="751026"/>
          <a:ext cx="666750" cy="1968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rgbClr val="FF0000"/>
              </a:solidFill>
              <a:latin typeface="Times New Roman" panose="02020603050405020304" pitchFamily="18" charset="0"/>
              <a:cs typeface="Times New Roman" panose="02020603050405020304" pitchFamily="18" charset="0"/>
            </a:rPr>
            <a:t>5,105,410</a:t>
          </a:r>
        </a:p>
      </cdr:txBody>
    </cdr:sp>
  </cdr:relSizeAnchor>
  <cdr:relSizeAnchor xmlns:cdr="http://schemas.openxmlformats.org/drawingml/2006/chartDrawing">
    <cdr:from>
      <cdr:x>0.78035</cdr:x>
      <cdr:y>0.41646</cdr:y>
    </cdr:from>
    <cdr:to>
      <cdr:x>0.91666</cdr:x>
      <cdr:y>0.49625</cdr:y>
    </cdr:to>
    <cdr:sp macro="" textlink="">
      <cdr:nvSpPr>
        <cdr:cNvPr id="9" name="CuadroTexto 4">
          <a:extLst xmlns:a="http://schemas.openxmlformats.org/drawingml/2006/main">
            <a:ext uri="{FF2B5EF4-FFF2-40B4-BE49-F238E27FC236}">
              <a16:creationId xmlns:a16="http://schemas.microsoft.com/office/drawing/2014/main" id="{29C23BA3-A416-458F-9A76-9A87D6D31EDE}"/>
            </a:ext>
          </a:extLst>
        </cdr:cNvPr>
        <cdr:cNvSpPr txBox="1"/>
      </cdr:nvSpPr>
      <cdr:spPr>
        <a:xfrm xmlns:a="http://schemas.openxmlformats.org/drawingml/2006/main">
          <a:off x="4107900" y="1093779"/>
          <a:ext cx="717550" cy="2095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chemeClr val="bg1">
                  <a:lumMod val="50000"/>
                </a:schemeClr>
              </a:solidFill>
              <a:latin typeface="Times New Roman" panose="02020603050405020304" pitchFamily="18" charset="0"/>
              <a:cs typeface="Times New Roman" panose="02020603050405020304" pitchFamily="18" charset="0"/>
            </a:rPr>
            <a:t>4,992,563</a:t>
          </a:r>
        </a:p>
      </cdr:txBody>
    </cdr:sp>
  </cdr:relSizeAnchor>
  <cdr:relSizeAnchor xmlns:cdr="http://schemas.openxmlformats.org/drawingml/2006/chartDrawing">
    <cdr:from>
      <cdr:x>0.15267</cdr:x>
      <cdr:y>0.35721</cdr:y>
    </cdr:from>
    <cdr:to>
      <cdr:x>0.32603</cdr:x>
      <cdr:y>0.46489</cdr:y>
    </cdr:to>
    <cdr:sp macro="" textlink="">
      <cdr:nvSpPr>
        <cdr:cNvPr id="10" name="CuadroTexto 4">
          <a:extLst xmlns:a="http://schemas.openxmlformats.org/drawingml/2006/main">
            <a:ext uri="{FF2B5EF4-FFF2-40B4-BE49-F238E27FC236}">
              <a16:creationId xmlns:a16="http://schemas.microsoft.com/office/drawing/2014/main" id="{4EDBA64B-EE75-4367-9BA4-9E216504492B}"/>
            </a:ext>
          </a:extLst>
        </cdr:cNvPr>
        <cdr:cNvSpPr txBox="1"/>
      </cdr:nvSpPr>
      <cdr:spPr>
        <a:xfrm xmlns:a="http://schemas.openxmlformats.org/drawingml/2006/main">
          <a:off x="803696" y="938149"/>
          <a:ext cx="912601" cy="28282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b="1">
              <a:solidFill>
                <a:sysClr val="windowText" lastClr="000000"/>
              </a:solidFill>
              <a:latin typeface="Times New Roman" panose="02020603050405020304" pitchFamily="18" charset="0"/>
              <a:cs typeface="Times New Roman" panose="02020603050405020304" pitchFamily="18" charset="0"/>
            </a:rPr>
            <a:t>4,936,5692</a:t>
          </a:r>
        </a:p>
      </cdr:txBody>
    </cdr:sp>
  </cdr:relSizeAnchor>
  <cdr:relSizeAnchor xmlns:cdr="http://schemas.openxmlformats.org/drawingml/2006/chartDrawing">
    <cdr:from>
      <cdr:x>0.20567</cdr:x>
      <cdr:y>0.23323</cdr:y>
    </cdr:from>
    <cdr:to>
      <cdr:x>0.2298</cdr:x>
      <cdr:y>0.37346</cdr:y>
    </cdr:to>
    <cdr:cxnSp macro="">
      <cdr:nvCxnSpPr>
        <cdr:cNvPr id="11" name="Conector recto de flecha 10">
          <a:extLst xmlns:a="http://schemas.openxmlformats.org/drawingml/2006/main">
            <a:ext uri="{FF2B5EF4-FFF2-40B4-BE49-F238E27FC236}">
              <a16:creationId xmlns:a16="http://schemas.microsoft.com/office/drawing/2014/main" id="{EBE0B640-2DE2-4DA2-8F15-94223A90ED39}"/>
            </a:ext>
          </a:extLst>
        </cdr:cNvPr>
        <cdr:cNvCxnSpPr/>
      </cdr:nvCxnSpPr>
      <cdr:spPr>
        <a:xfrm xmlns:a="http://schemas.openxmlformats.org/drawingml/2006/main" flipH="1">
          <a:off x="1082694" y="612536"/>
          <a:ext cx="127000" cy="368300"/>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0.18436</cdr:x>
      <cdr:y>0.10789</cdr:y>
    </cdr:from>
    <cdr:to>
      <cdr:x>0.40665</cdr:x>
      <cdr:y>0.27472</cdr:y>
    </cdr:to>
    <cdr:sp macro="" textlink="">
      <cdr:nvSpPr>
        <cdr:cNvPr id="12" name="CuadroTexto 2">
          <a:extLst xmlns:a="http://schemas.openxmlformats.org/drawingml/2006/main">
            <a:ext uri="{FF2B5EF4-FFF2-40B4-BE49-F238E27FC236}">
              <a16:creationId xmlns:a16="http://schemas.microsoft.com/office/drawing/2014/main" id="{1861283E-2158-4FC6-9780-79961EFC09A0}"/>
            </a:ext>
          </a:extLst>
        </cdr:cNvPr>
        <cdr:cNvSpPr txBox="1"/>
      </cdr:nvSpPr>
      <cdr:spPr>
        <a:xfrm xmlns:a="http://schemas.openxmlformats.org/drawingml/2006/main">
          <a:off x="970486" y="283364"/>
          <a:ext cx="1170161" cy="43814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lnSpc>
              <a:spcPct val="115000"/>
            </a:lnSpc>
            <a:spcAft>
              <a:spcPts val="1000"/>
            </a:spcAft>
          </a:pPr>
          <a:r>
            <a:rPr lang="es-MX" sz="800" b="1">
              <a:solidFill>
                <a:srgbClr val="000000"/>
              </a:solidFill>
              <a:effectLst/>
              <a:latin typeface="Times New Roman" panose="02020603050405020304" pitchFamily="18" charset="0"/>
              <a:ea typeface="Calibri" panose="020F0502020204030204" pitchFamily="34" charset="0"/>
              <a:cs typeface="Arial" panose="020B0604020202020204" pitchFamily="34" charset="0"/>
            </a:rPr>
            <a:t>pre-Covid 19 employment level</a:t>
          </a:r>
          <a:endParaRPr lang="es-MX" sz="1100">
            <a:effectLst/>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A149-41F9-4811-852F-ECA1E55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8534</Words>
  <Characters>46941</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YAREZI CUELLAR TAPIA</dc:creator>
  <cp:keywords/>
  <dc:description/>
  <cp:lastModifiedBy>Jorge O. Moreno</cp:lastModifiedBy>
  <cp:revision>7</cp:revision>
  <cp:lastPrinted>2021-04-20T21:43:00Z</cp:lastPrinted>
  <dcterms:created xsi:type="dcterms:W3CDTF">2021-04-22T22:42:00Z</dcterms:created>
  <dcterms:modified xsi:type="dcterms:W3CDTF">2021-04-22T23:06:00Z</dcterms:modified>
</cp:coreProperties>
</file>